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41"/>
        <w:rPr>
          <w:rFonts w:hint="eastAsia"/>
        </w:rPr>
      </w:pPr>
      <w:r>
        <w:rPr>
          <w:rFonts w:hint="eastAsia"/>
        </w:rPr>
      </w:r>
      <w:r/>
    </w:p>
    <w:p>
      <w:pPr>
        <w:pStyle w:val="952"/>
        <w:jc w:val="center"/>
        <w:rPr>
          <w:rFonts w:hint="eastAsia" w:eastAsia="黑体"/>
          <w:b/>
          <w:bCs/>
          <w:sz w:val="84"/>
        </w:rPr>
      </w:pPr>
      <w:r>
        <w:rPr>
          <w:rFonts w:hint="eastAsia" w:eastAsia="黑体"/>
          <w:b/>
          <w:bCs/>
          <w:sz w:val="84"/>
        </w:rPr>
        <w:t xml:space="preserve">招　标　文　件</w:t>
      </w:r>
      <w:r/>
    </w:p>
    <w:p>
      <w:pPr>
        <w:pStyle w:val="860"/>
        <w:ind w:firstLine="1506"/>
        <w:rPr>
          <w:b/>
          <w:sz w:val="30"/>
          <w:szCs w:val="30"/>
          <w:u w:val="single"/>
        </w:rPr>
      </w:pPr>
      <w:r>
        <w:rPr>
          <w:rFonts w:hint="eastAsia"/>
          <w:b/>
          <w:sz w:val="30"/>
          <w:szCs w:val="30"/>
        </w:rPr>
        <w:t xml:space="preserve">项目名称：</w:t>
      </w:r>
      <w:r>
        <w:rPr>
          <w:b/>
          <w:sz w:val="32"/>
          <w:szCs w:val="32"/>
        </w:rPr>
        <w:t xml:space="preserve">南京鼓楼医院一号楼三部电梯</w:t>
      </w:r>
      <w:r>
        <w:rPr>
          <w:rFonts w:hint="eastAsia"/>
          <w:b/>
          <w:sz w:val="32"/>
          <w:szCs w:val="32"/>
        </w:rPr>
        <w:t xml:space="preserve"> </w:t>
      </w:r>
      <w:r>
        <w:rPr>
          <w:b/>
          <w:sz w:val="30"/>
          <w:szCs w:val="30"/>
          <w:u w:val="single"/>
        </w:rPr>
      </w:r>
      <w:r/>
    </w:p>
    <w:p>
      <w:pPr>
        <w:pStyle w:val="860"/>
        <w:ind w:firstLine="1506"/>
        <w:rPr>
          <w:rFonts w:hint="eastAsia"/>
          <w:b/>
          <w:sz w:val="30"/>
          <w:szCs w:val="30"/>
        </w:rPr>
      </w:pPr>
      <w:r>
        <w:rPr>
          <w:rFonts w:hint="eastAsia"/>
          <w:b/>
          <w:sz w:val="30"/>
          <w:szCs w:val="30"/>
        </w:rPr>
        <w:t xml:space="preserve">项目编号：</w:t>
      </w:r>
      <w:r>
        <w:rPr>
          <w:b/>
          <w:sz w:val="32"/>
          <w:szCs w:val="32"/>
        </w:rPr>
        <w:t xml:space="preserve">JSZC-320100-JZCG-G2025-0421</w:t>
      </w:r>
      <w:r>
        <w:rPr>
          <w:rFonts w:hint="eastAsia"/>
          <w:b/>
          <w:sz w:val="32"/>
          <w:szCs w:val="32"/>
        </w:rPr>
        <w:t xml:space="preserve"> </w:t>
      </w:r>
      <w:r>
        <w:rPr>
          <w:rFonts w:hint="eastAsia"/>
          <w:b/>
          <w:sz w:val="30"/>
          <w:szCs w:val="30"/>
        </w:rPr>
        <w:t xml:space="preserve"> </w:t>
      </w:r>
      <w:r>
        <w:rPr>
          <w:rFonts w:hint="eastAsia"/>
          <w:b/>
          <w:sz w:val="30"/>
          <w:szCs w:val="30"/>
        </w:rPr>
        <w:t xml:space="preserve"> </w:t>
      </w:r>
      <w:r>
        <w:rPr>
          <w:rFonts w:hint="eastAsia"/>
          <w:b/>
          <w:sz w:val="30"/>
          <w:szCs w:val="30"/>
        </w:rPr>
        <w:t xml:space="preserve">            </w:t>
      </w:r>
      <w:r/>
    </w:p>
    <w:p>
      <w:pPr>
        <w:pStyle w:val="860"/>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952"/>
        <w:ind w:firstLine="0"/>
        <w:jc w:val="center"/>
        <w:rPr>
          <w:rFonts w:hint="eastAsia"/>
          <w:b/>
          <w:bCs/>
          <w:sz w:val="32"/>
        </w:rPr>
      </w:pPr>
      <w:r>
        <w:rPr>
          <w:rFonts w:hint="eastAsia"/>
          <w:b/>
          <w:bCs/>
          <w:sz w:val="32"/>
        </w:rPr>
        <w:t xml:space="preserve">南京市公共资源交易中心</w:t>
      </w:r>
      <w:r/>
    </w:p>
    <w:p>
      <w:pPr>
        <w:pStyle w:val="860"/>
        <w:jc w:val="center"/>
        <w:rPr>
          <w:rFonts w:hint="eastAsia"/>
          <w:b/>
          <w:sz w:val="32"/>
          <w:szCs w:val="32"/>
        </w:rPr>
      </w:pPr>
      <w:r>
        <w:rPr>
          <w:rFonts w:hint="eastAsia"/>
          <w:b/>
          <w:sz w:val="32"/>
          <w:szCs w:val="32"/>
        </w:rPr>
        <w:t xml:space="preserve">2025年11月</w:t>
      </w:r>
      <w:r/>
    </w:p>
    <w:p>
      <w:pPr>
        <w:pStyle w:val="860"/>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0"/>
        <w:jc w:val="center"/>
        <w:spacing w:before="120" w:after="120" w:line="360" w:lineRule="auto"/>
        <w:rPr>
          <w:rFonts w:hint="eastAsia" w:ascii="Arial" w:hAnsi="Arial"/>
          <w:sz w:val="24"/>
          <w:szCs w:val="24"/>
        </w:rPr>
      </w:pPr>
      <w:r>
        <w:rPr>
          <w:rFonts w:hint="eastAsia" w:ascii="Arial" w:hAnsi="Arial"/>
          <w:sz w:val="24"/>
          <w:szCs w:val="24"/>
        </w:rPr>
      </w:r>
      <w:r/>
    </w:p>
    <w:p>
      <w:pPr>
        <w:pStyle w:val="860"/>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513029200"/>
      <w:r/>
      <w:bookmarkStart w:id="2" w:name="_Toc16938516"/>
      <w:r/>
      <w:bookmarkStart w:id="3" w:name="_Toc20823272"/>
      <w:r/>
      <w:bookmarkStart w:id="4" w:name="_Toc479757206"/>
      <w:r/>
      <w:bookmarkStart w:id="5" w:name="_Toc523127445"/>
      <w:r>
        <w:rPr>
          <w:rFonts w:hint="eastAsia" w:ascii="黑体" w:hAnsi="Arial" w:eastAsia="黑体"/>
          <w:b/>
          <w:sz w:val="44"/>
          <w:szCs w:val="21"/>
        </w:rPr>
        <w:t xml:space="preserve">总  目  录</w:t>
      </w:r>
      <w:r/>
    </w:p>
    <w:p>
      <w:pPr>
        <w:pStyle w:val="860"/>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投标邀请……………………………………3</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投标人须知…………………………………</w:t>
      </w:r>
      <w:r>
        <w:rPr>
          <w:rFonts w:hint="eastAsia" w:ascii="黑体" w:hAnsi="宋体" w:eastAsia="黑体"/>
          <w:sz w:val="36"/>
          <w:szCs w:val="21"/>
        </w:rPr>
        <w:t xml:space="preserve">5</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合同文本……………………………………14</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采购需求……………………………………19</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评标方法与评标标准………………………27</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投标文件格式………………………………30</w:t>
      </w:r>
      <w:r/>
    </w:p>
    <w:p>
      <w:pPr>
        <w:pStyle w:val="860"/>
        <w:ind w:right="840"/>
        <w:jc w:val="center"/>
        <w:rPr>
          <w:rFonts w:hint="eastAsia" w:ascii="方正小标宋简体" w:hAnsi="方正小标宋简体" w:eastAsia="方正小标宋简体" w:cs="方正小标宋简体"/>
          <w:sz w:val="36"/>
          <w:szCs w:val="36"/>
        </w:rPr>
      </w:pPr>
      <w:r/>
      <w:bookmarkEnd w:id="0"/>
      <w:r>
        <w:rPr>
          <w:rFonts w:hint="eastAsia" w:ascii="方正小标宋简体" w:hAnsi="方正小标宋简体" w:eastAsia="方正小标宋简体" w:cs="方正小标宋简体"/>
          <w:sz w:val="36"/>
          <w:szCs w:val="36"/>
        </w:rPr>
      </w:r>
      <w:r/>
    </w:p>
    <w:p>
      <w:pPr>
        <w:pStyle w:val="860"/>
        <w:ind w:right="84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投标邀请</w:t>
      </w:r>
      <w:r/>
    </w:p>
    <w:p>
      <w:pPr>
        <w:pStyle w:val="860"/>
        <w:ind w:firstLine="480"/>
        <w:spacing w:line="252" w:lineRule="auto"/>
        <w:rPr>
          <w:rFonts w:hint="eastAsia" w:ascii="宋体" w:hAnsi="宋体"/>
          <w:sz w:val="24"/>
          <w:szCs w:val="24"/>
        </w:rPr>
      </w:pPr>
      <w:r>
        <w:rPr>
          <w:rFonts w:hint="eastAsia" w:ascii="宋体" w:hAnsi="宋体"/>
          <w:sz w:val="24"/>
          <w:szCs w:val="24"/>
        </w:rPr>
      </w:r>
      <w:r/>
    </w:p>
    <w:p>
      <w:pPr>
        <w:pStyle w:val="860"/>
        <w:ind w:firstLine="480"/>
        <w:spacing w:line="252" w:lineRule="auto"/>
        <w:rPr>
          <w:rFonts w:ascii="宋体" w:hAnsi="宋体"/>
          <w:sz w:val="24"/>
          <w:szCs w:val="24"/>
        </w:rPr>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ascii="宋体" w:hAnsi="宋体"/>
          <w:sz w:val="24"/>
          <w:szCs w:val="24"/>
        </w:rPr>
        <w:t xml:space="preserve">受</w:t>
      </w:r>
      <w:r>
        <w:rPr>
          <w:rFonts w:ascii="宋体" w:hAnsi="宋体"/>
          <w:sz w:val="24"/>
          <w:szCs w:val="24"/>
        </w:rPr>
        <w:t xml:space="preserve">南京鼓楼医院</w:t>
      </w:r>
      <w:r>
        <w:rPr>
          <w:rFonts w:hint="eastAsia" w:ascii="宋体" w:hAnsi="宋体"/>
          <w:sz w:val="24"/>
          <w:szCs w:val="24"/>
        </w:rPr>
        <w:t xml:space="preserve">委托，南京市公共资源交易中心（以下简称“交易中心”）就</w:t>
      </w:r>
      <w:r>
        <w:rPr>
          <w:rFonts w:ascii="宋体" w:hAnsi="宋体"/>
          <w:sz w:val="24"/>
          <w:szCs w:val="24"/>
        </w:rPr>
        <w:t xml:space="preserve">南京鼓楼医院一号楼三部电梯</w:t>
      </w:r>
      <w:r>
        <w:rPr>
          <w:rFonts w:hint="eastAsia" w:ascii="宋体" w:hAnsi="宋体"/>
          <w:sz w:val="24"/>
          <w:szCs w:val="24"/>
        </w:rPr>
        <w:t xml:space="preserve">进行公开招标采购，欢迎符合条件的供应商投标。</w:t>
      </w:r>
      <w:r>
        <w:rPr>
          <w:rFonts w:ascii="宋体" w:hAnsi="宋体"/>
          <w:sz w:val="24"/>
          <w:szCs w:val="24"/>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60"/>
        <w:ind w:firstLine="480"/>
        <w:spacing w:line="252" w:lineRule="auto"/>
        <w:rPr>
          <w:rFonts w:ascii="宋体" w:hAnsi="宋体"/>
          <w:sz w:val="24"/>
          <w:szCs w:val="24"/>
        </w:rPr>
      </w:pPr>
      <w:r/>
      <w:bookmarkEnd w:id="11"/>
      <w:r/>
      <w:bookmarkStart w:id="12" w:name="_Toc35393791"/>
      <w:r/>
      <w:bookmarkStart w:id="13" w:name="_Toc28359003"/>
      <w:r/>
      <w:bookmarkStart w:id="14" w:name="_Toc35393622"/>
      <w:r/>
      <w:bookmarkStart w:id="15" w:name="_Toc38985264"/>
      <w:r/>
      <w:bookmarkStart w:id="16" w:name="_Toc28359080"/>
      <w:r>
        <w:rPr>
          <w:rFonts w:hint="eastAsia" w:ascii="宋体" w:hAnsi="宋体"/>
          <w:sz w:val="24"/>
          <w:szCs w:val="24"/>
        </w:rPr>
        <w:t xml:space="preserve">1.项目编号：</w:t>
      </w:r>
      <w:r>
        <w:rPr>
          <w:rFonts w:ascii="宋体" w:hAnsi="宋体"/>
          <w:sz w:val="24"/>
          <w:szCs w:val="24"/>
        </w:rPr>
        <w:t xml:space="preserve">JSZC-320100-JZCG-G2025-0421</w:t>
      </w:r>
      <w:r/>
    </w:p>
    <w:p>
      <w:pPr>
        <w:pStyle w:val="860"/>
        <w:ind w:firstLine="480"/>
        <w:spacing w:line="252" w:lineRule="auto"/>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南京鼓楼医院一号楼三部电梯</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3.预算金额：</w:t>
      </w:r>
      <w:r>
        <w:rPr>
          <w:rFonts w:hint="eastAsia" w:ascii="宋体" w:hAnsi="宋体"/>
          <w:sz w:val="24"/>
          <w:szCs w:val="24"/>
        </w:rPr>
        <w:t xml:space="preserve">249.99万元</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4.最高限价：</w:t>
      </w:r>
      <w:r>
        <w:rPr>
          <w:rFonts w:hint="eastAsia" w:ascii="宋体" w:hAnsi="宋体"/>
          <w:sz w:val="24"/>
          <w:szCs w:val="24"/>
        </w:rPr>
        <w:t xml:space="preserve">本项目最高限价220万元。</w:t>
      </w:r>
      <w:r/>
    </w:p>
    <w:p>
      <w:pPr>
        <w:pStyle w:val="860"/>
        <w:ind w:firstLine="480"/>
        <w:spacing w:line="252"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rPr>
        <w:t xml:space="preserve">南京鼓楼医院一号楼3部电梯更新。</w:t>
      </w:r>
      <w:r>
        <w:rPr>
          <w:rFonts w:hint="eastAsia" w:ascii="宋体" w:hAnsi="宋体" w:cs="宋体"/>
          <w:sz w:val="24"/>
          <w:szCs w:val="24"/>
        </w:rPr>
        <w:t xml:space="preserve">（详细内容见本招标文件第</w:t>
      </w:r>
      <w:r>
        <w:rPr>
          <w:rFonts w:hint="eastAsia" w:ascii="宋体" w:hAnsi="宋体" w:cs="宋体"/>
          <w:sz w:val="24"/>
          <w:szCs w:val="24"/>
        </w:rPr>
        <w:t xml:space="preserve">四章） </w:t>
      </w:r>
      <w:r>
        <w:rPr>
          <w:rFonts w:ascii="宋体" w:hAnsi="宋体"/>
          <w:sz w:val="24"/>
          <w:szCs w:val="24"/>
          <w:u w:val="single"/>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6.合同履行期限：</w:t>
      </w:r>
      <w:r>
        <w:rPr>
          <w:rFonts w:hint="eastAsia" w:ascii="宋体" w:hAnsi="宋体"/>
          <w:sz w:val="24"/>
          <w:szCs w:val="24"/>
        </w:rPr>
        <w:t xml:space="preserve">150天（交货期为合同签订后150天内）</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7.本项目</w:t>
      </w:r>
      <w:r>
        <w:rPr>
          <w:rFonts w:hint="eastAsia" w:ascii="宋体" w:hAnsi="宋体"/>
          <w:sz w:val="24"/>
          <w:szCs w:val="24"/>
        </w:rPr>
        <w:t xml:space="preserve">不接受</w:t>
      </w:r>
      <w:r>
        <w:rPr>
          <w:rFonts w:hint="eastAsia" w:ascii="宋体" w:hAnsi="宋体"/>
          <w:sz w:val="24"/>
          <w:szCs w:val="24"/>
        </w:rPr>
        <w:t xml:space="preserve">进口产品投标。</w:t>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8.本项目</w:t>
      </w:r>
      <w:r>
        <w:rPr>
          <w:rFonts w:hint="eastAsia" w:ascii="宋体" w:hAnsi="宋体" w:cs="宋体"/>
          <w:sz w:val="24"/>
          <w:szCs w:val="24"/>
        </w:rPr>
        <w:t xml:space="preserve">不接受</w:t>
      </w:r>
      <w:r>
        <w:rPr>
          <w:rFonts w:hint="eastAsia" w:ascii="宋体" w:hAnsi="宋体" w:cs="宋体"/>
          <w:sz w:val="24"/>
          <w:szCs w:val="24"/>
        </w:rPr>
        <w:t xml:space="preserve">联合体投标。</w:t>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cs="宋体"/>
          <w:sz w:val="24"/>
          <w:szCs w:val="24"/>
        </w:rPr>
      </w:pPr>
      <w:r/>
      <w:bookmarkStart w:id="17" w:name="_Toc38985265"/>
      <w:r/>
      <w:bookmarkStart w:id="18" w:name="_Toc28359081"/>
      <w:r/>
      <w:bookmarkStart w:id="19" w:name="_Toc28359004"/>
      <w:r/>
      <w:bookmarkStart w:id="20" w:name="_Toc35393623"/>
      <w:r/>
      <w:bookmarkStart w:id="21" w:name="_Toc35393792"/>
      <w:r>
        <w:rPr>
          <w:rFonts w:hint="eastAsia" w:ascii="宋体" w:hAnsi="宋体" w:cs="宋体"/>
          <w:sz w:val="24"/>
          <w:szCs w:val="24"/>
        </w:rPr>
        <w:t xml:space="preserve">（一）通用资格要求</w:t>
      </w:r>
      <w:r/>
    </w:p>
    <w:p>
      <w:pPr>
        <w:pStyle w:val="860"/>
        <w:ind w:firstLine="480"/>
        <w:spacing w:line="252"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t xml:space="preserve">无</w:t>
      </w:r>
      <w:r/>
    </w:p>
    <w:p>
      <w:pPr>
        <w:pStyle w:val="860"/>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工业</w:t>
      </w:r>
      <w:r>
        <w:rPr>
          <w:rFonts w:hint="eastAsia" w:ascii="宋体" w:hAnsi="宋体"/>
          <w:sz w:val="24"/>
          <w:szCs w:val="24"/>
          <w:lang w:val="zh-CN"/>
        </w:rPr>
        <w:t xml:space="preserve">。</w:t>
      </w:r>
      <w:r>
        <w:rPr>
          <w:rFonts w:hint="eastAsia" w:ascii="宋体" w:hAnsi="宋体"/>
          <w:sz w:val="24"/>
          <w:szCs w:val="24"/>
        </w:rPr>
      </w:r>
      <w:r/>
    </w:p>
    <w:p>
      <w:pPr>
        <w:pStyle w:val="860"/>
        <w:ind w:firstLine="480"/>
        <w:spacing w:line="252" w:lineRule="auto"/>
        <w:rPr>
          <w:rFonts w:ascii="宋体" w:hAnsi="宋体" w:cs="宋体"/>
          <w:sz w:val="24"/>
          <w:szCs w:val="24"/>
        </w:rPr>
      </w:pPr>
      <w:r>
        <w:rPr>
          <w:rFonts w:hint="eastAsia" w:ascii="宋体" w:hAnsi="宋体" w:cs="宋体"/>
          <w:sz w:val="24"/>
          <w:szCs w:val="24"/>
        </w:rPr>
        <w:t xml:space="preserve">（二）本项目特定资格要求：</w:t>
      </w:r>
      <w:r>
        <w:rPr>
          <w:rFonts w:ascii="宋体" w:hAnsi="宋体" w:cs="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（1）投标人若为制造商，须具有有效期内国家质量监督部门颁发的</w:t>
      </w:r>
      <w:bookmarkStart w:id="22" w:name="OLE_LINK2"/>
      <w:r>
        <w:rPr>
          <w:rFonts w:hint="eastAsia" w:ascii="宋体" w:hAnsi="宋体"/>
          <w:sz w:val="24"/>
          <w:szCs w:val="24"/>
        </w:rPr>
        <w:t xml:space="preserve">《</w:t>
      </w:r>
      <w:bookmarkStart w:id="23" w:name="OLE_LINK3"/>
      <w:r>
        <w:rPr>
          <w:rFonts w:hint="eastAsia" w:ascii="宋体" w:hAnsi="宋体"/>
          <w:sz w:val="24"/>
          <w:szCs w:val="24"/>
        </w:rPr>
        <w:t xml:space="preserve">中华人民共和国特种设备（电梯）制造许可证</w:t>
      </w:r>
      <w:bookmarkEnd w:id="23"/>
      <w:r>
        <w:rPr>
          <w:rFonts w:hint="eastAsia" w:ascii="宋体" w:hAnsi="宋体"/>
          <w:sz w:val="24"/>
          <w:szCs w:val="24"/>
        </w:rPr>
        <w:t xml:space="preserve">》</w:t>
      </w:r>
      <w:bookmarkEnd w:id="22"/>
      <w:r>
        <w:rPr>
          <w:rFonts w:hint="eastAsia" w:ascii="宋体" w:hAnsi="宋体"/>
          <w:sz w:val="24"/>
          <w:szCs w:val="24"/>
        </w:rPr>
        <w:t xml:space="preserve">B级及以上资质或《中华人民共和国特种设备生产许可证》（提供有效证书）。</w:t>
      </w:r>
      <w:r/>
    </w:p>
    <w:p>
      <w:pPr>
        <w:pStyle w:val="860"/>
        <w:ind w:firstLine="480"/>
        <w:spacing w:line="252" w:lineRule="auto"/>
        <w:rPr>
          <w:rFonts w:hint="eastAsia" w:ascii="宋体" w:hAnsi="宋体"/>
          <w:sz w:val="24"/>
          <w:szCs w:val="24"/>
        </w:rPr>
      </w:pPr>
      <w:r>
        <w:rPr>
          <w:rFonts w:hint="eastAsia" w:ascii="宋体" w:hAnsi="宋体"/>
          <w:sz w:val="24"/>
          <w:szCs w:val="24"/>
        </w:rPr>
        <w:t xml:space="preserve">（2）投标人若为代理商，须具有有效期内《中华人民共和国特种设备安装改造维修许可证（电梯）》（曳引驱动电梯或曳引与强制驱动电梯或乘客电梯B级及以上）或《中华人民共和国特种设备生产许可证》（B级及以上）（提供有效证书）。</w:t>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（三）拒绝下述供应商参加本次采购活动</w:t>
      </w:r>
      <w:r/>
    </w:p>
    <w:p>
      <w:pPr>
        <w:pStyle w:val="860"/>
        <w:ind w:firstLine="480"/>
        <w:spacing w:line="252"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pStyle w:val="860"/>
        <w:ind w:firstLine="480"/>
        <w:spacing w:line="252"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w:t>
      </w:r>
      <w:r>
        <w:rPr>
          <w:rFonts w:hint="eastAsia" w:ascii="宋体" w:hAnsi="宋体"/>
          <w:sz w:val="24"/>
          <w:szCs w:val="24"/>
        </w:rPr>
        <w:t xml:space="preserve">参加本项目的采购活动。</w:t>
      </w:r>
      <w:r/>
    </w:p>
    <w:p>
      <w:pPr>
        <w:pStyle w:val="860"/>
        <w:ind w:firstLine="480"/>
        <w:spacing w:line="252"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860"/>
        <w:ind w:firstLine="480"/>
        <w:spacing w:line="252" w:lineRule="auto"/>
        <w:rPr>
          <w:rFonts w:ascii="宋体" w:hAnsi="宋体" w:cs="宋体"/>
          <w:sz w:val="24"/>
          <w:szCs w:val="24"/>
        </w:rPr>
      </w:pPr>
      <w:r/>
      <w:bookmarkStart w:id="24" w:name="_Toc35393624"/>
      <w:r/>
      <w:bookmarkStart w:id="25" w:name="_Toc35393793"/>
      <w:r/>
      <w:bookmarkStart w:id="26" w:name="_Toc28359005"/>
      <w:r/>
      <w:bookmarkStart w:id="27" w:name="_Toc28359082"/>
      <w:r/>
      <w:bookmarkStart w:id="28"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860"/>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6"/>
      <w:r/>
      <w:bookmarkEnd w:id="27"/>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8"/>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bCs/>
          <w:sz w:val="24"/>
          <w:szCs w:val="24"/>
          <w:u w:val="single"/>
        </w:rPr>
      </w:pPr>
      <w:r/>
      <w:bookmarkStart w:id="29" w:name="_Toc28359084"/>
      <w:r/>
      <w:bookmarkStart w:id="30" w:name="_Toc35393794"/>
      <w:r/>
      <w:bookmarkStart w:id="31" w:name="_Toc35393625"/>
      <w:r/>
      <w:bookmarkStart w:id="32" w:name="_Toc38985267"/>
      <w:r/>
      <w:bookmarkStart w:id="33" w:name="_Toc28359007"/>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25</w:t>
      </w:r>
      <w:r>
        <w:rPr>
          <w:rFonts w:hint="eastAsia" w:ascii="宋体" w:hAnsi="宋体"/>
          <w:bCs/>
          <w:sz w:val="24"/>
          <w:szCs w:val="24"/>
        </w:rPr>
        <w:t xml:space="preserve">年</w:t>
      </w:r>
      <w:r>
        <w:rPr>
          <w:rFonts w:hint="eastAsia" w:ascii="宋体" w:hAnsi="宋体"/>
          <w:bCs/>
          <w:sz w:val="24"/>
          <w:szCs w:val="24"/>
        </w:rPr>
        <w:t xml:space="preserve">12月</w:t>
      </w:r>
      <w:r>
        <w:rPr>
          <w:rFonts w:hint="eastAsia" w:ascii="宋体" w:hAnsi="宋体"/>
          <w:bCs/>
          <w:sz w:val="24"/>
          <w:szCs w:val="24"/>
        </w:rPr>
        <w:t xml:space="preserve">12日</w:t>
      </w:r>
      <w:r>
        <w:rPr>
          <w:rFonts w:hint="eastAsia"/>
          <w:bCs/>
          <w:sz w:val="24"/>
          <w:szCs w:val="24"/>
        </w:rPr>
        <w:t xml:space="preserve">14时</w:t>
      </w:r>
      <w:r>
        <w:rPr>
          <w:rFonts w:hint="eastAsia" w:ascii="宋体" w:hAnsi="宋体"/>
          <w:bCs/>
          <w:sz w:val="24"/>
          <w:szCs w:val="24"/>
        </w:rPr>
        <w:t xml:space="preserve">00分</w:t>
      </w:r>
      <w:r>
        <w:rPr>
          <w:rFonts w:hint="eastAsia" w:ascii="宋体" w:hAnsi="宋体"/>
          <w:bCs/>
          <w:sz w:val="24"/>
          <w:szCs w:val="24"/>
        </w:rPr>
        <w:t xml:space="preserve">（北京时间）。</w:t>
      </w:r>
      <w:r>
        <w:rPr>
          <w:rFonts w:hint="eastAsia" w:ascii="宋体" w:hAnsi="宋体"/>
          <w:bCs/>
          <w:sz w:val="24"/>
          <w:szCs w:val="24"/>
          <w:u w:val="single"/>
        </w:rPr>
      </w:r>
      <w:r/>
    </w:p>
    <w:p>
      <w:pPr>
        <w:pStyle w:val="860"/>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9"/>
      <w:r/>
      <w:bookmarkEnd w:id="30"/>
      <w:r/>
      <w:bookmarkEnd w:id="31"/>
      <w:r/>
      <w:bookmarkEnd w:id="32"/>
      <w:r/>
      <w:bookmarkEnd w:id="33"/>
      <w:r>
        <w:rPr>
          <w:rFonts w:hint="eastAsia" w:ascii="方正黑体_GBK" w:hAnsi="方正黑体_GBK" w:eastAsia="方正黑体_GBK" w:cs="方正黑体_GBK"/>
          <w:b w:val="0"/>
          <w:bCs w:val="0"/>
          <w:sz w:val="30"/>
          <w:szCs w:val="30"/>
        </w:rPr>
      </w:r>
      <w:r/>
    </w:p>
    <w:p>
      <w:pPr>
        <w:pStyle w:val="860"/>
        <w:ind w:firstLine="480"/>
        <w:spacing w:line="252" w:lineRule="auto"/>
        <w:rPr>
          <w:rFonts w:ascii="宋体" w:hAnsi="宋体" w:cs="宋体"/>
          <w:sz w:val="24"/>
          <w:szCs w:val="24"/>
        </w:rPr>
      </w:pPr>
      <w:r/>
      <w:bookmarkStart w:id="34" w:name="_Toc35393626"/>
      <w:r/>
      <w:bookmarkStart w:id="35" w:name="_Toc38985268"/>
      <w:r/>
      <w:bookmarkStart w:id="36" w:name="_Toc35393795"/>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63"/>
        <w:ind w:firstLine="498"/>
        <w:spacing w:before="145" w:after="145" w:line="252" w:lineRule="auto"/>
        <w:rPr>
          <w:rFonts w:hint="eastAsia"/>
        </w:rPr>
      </w:pPr>
      <w:r>
        <w:rPr>
          <w:rFonts w:hint="eastAsia"/>
        </w:rPr>
        <w:t xml:space="preserve">六、其他事宜</w:t>
      </w:r>
      <w:bookmarkEnd w:id="34"/>
      <w:r/>
      <w:bookmarkEnd w:id="35"/>
      <w:r/>
      <w:bookmarkEnd w:id="36"/>
      <w:r>
        <w:rPr>
          <w:rFonts w:hint="eastAsia"/>
        </w:rPr>
      </w:r>
      <w:r/>
    </w:p>
    <w:p>
      <w:pPr>
        <w:pStyle w:val="860"/>
        <w:ind w:firstLine="480"/>
        <w:spacing w:line="252" w:lineRule="auto"/>
        <w:tabs>
          <w:tab w:val="left" w:pos="900" w:leader="none"/>
        </w:tabs>
        <w:rPr>
          <w:rFonts w:hint="eastAsia" w:ascii="宋体" w:hAnsi="宋体"/>
          <w:bCs/>
          <w:sz w:val="24"/>
          <w:szCs w:val="24"/>
        </w:rPr>
      </w:pPr>
      <w:r/>
      <w:bookmarkStart w:id="37" w:name="_Toc28359085"/>
      <w:r/>
      <w:bookmarkStart w:id="38" w:name="_Toc38985269"/>
      <w:r/>
      <w:bookmarkStart w:id="39" w:name="_Toc28359008"/>
      <w:r/>
      <w:bookmarkStart w:id="40" w:name="_Toc35393796"/>
      <w:r/>
      <w:bookmarkStart w:id="41"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860"/>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，供应商如对采购需求有疑问，请咨询采购单位联系人。联系人：张老师，联系电话：1</w:t>
      </w:r>
      <w:r>
        <w:rPr>
          <w:rFonts w:ascii="宋体" w:hAnsi="宋体" w:cs="宋体"/>
          <w:sz w:val="24"/>
          <w:szCs w:val="24"/>
        </w:rPr>
        <w:t xml:space="preserve">3851434599</w:t>
      </w:r>
      <w:r>
        <w:rPr>
          <w:rFonts w:hint="eastAsia" w:ascii="宋体" w:hAnsi="宋体" w:cs="宋体"/>
          <w:sz w:val="24"/>
          <w:szCs w:val="24"/>
        </w:rPr>
        <w:t xml:space="preserve">。 </w:t>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w:instrText>
      </w:r>
      <w:r>
        <w:rPr>
          <w:rFonts w:hint="eastAsia" w:ascii="宋体" w:hAnsi="宋体" w:cs="宋体"/>
          <w:sz w:val="24"/>
          <w:szCs w:val="24"/>
        </w:rPr>
        <w:instrText xml:space="preserve"> "http://www.ccgp-jiangsu.gov.cn/jiangsu/zlxz/ee/ee3a4bc5a3454aa2b0d9312230633ce9.html" </w:instrText>
      </w:r>
      <w:r>
        <w:rPr>
          <w:rFonts w:hint="eastAsia" w:ascii="宋体" w:hAnsi="宋体" w:cs="宋体"/>
          <w:sz w:val="24"/>
          <w:szCs w:val="24"/>
        </w:rPr>
        <w:fldChar w:fldCharType="separate"/>
      </w:r>
      <w:r>
        <w:rPr>
          <w:rStyle w:val="937"/>
          <w:rFonts w:hint="eastAsia" w:ascii="宋体" w:hAnsi="宋体" w:cs="宋体"/>
          <w:color w:val="000000"/>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860"/>
        <w:ind w:firstLine="482"/>
        <w:spacing w:line="252" w:lineRule="auto"/>
        <w:rPr>
          <w:rFonts w:hint="eastAsia" w:ascii="宋体" w:hAnsi="宋体" w:cs="宋体"/>
          <w:b/>
          <w:bCs/>
          <w:sz w:val="24"/>
          <w:szCs w:val="24"/>
        </w:rPr>
      </w:pPr>
      <w:r>
        <w:rPr>
          <w:rFonts w:hint="eastAsia" w:ascii="宋体" w:hAnsi="宋体" w:cs="宋体"/>
          <w:b/>
          <w:bCs/>
          <w:sz w:val="24"/>
          <w:szCs w:val="24"/>
        </w:rPr>
        <w:t xml:space="preserve">5.供应商（含潜在供应商）对采购方式、采购需求、供应商资格条件、评标方法和评标标准、合同文本的询问或质疑向采购人提出，《质疑函》原件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采购人，由采购人负责答复。</w:t>
      </w:r>
      <w:r/>
    </w:p>
    <w:p>
      <w:pPr>
        <w:pStyle w:val="860"/>
        <w:ind w:firstLine="482"/>
        <w:spacing w:line="252" w:lineRule="auto"/>
        <w:rPr>
          <w:rFonts w:hint="eastAsia" w:ascii="宋体" w:hAnsi="宋体" w:cs="宋体"/>
          <w:sz w:val="24"/>
          <w:szCs w:val="24"/>
        </w:rPr>
      </w:pPr>
      <w:r>
        <w:rPr>
          <w:rFonts w:hint="eastAsia" w:ascii="宋体" w:hAnsi="宋体" w:cs="宋体"/>
          <w:b/>
          <w:bCs/>
          <w:sz w:val="24"/>
          <w:szCs w:val="24"/>
        </w:rPr>
        <w:t xml:space="preserve">对采购过程、采购结果的询问或质疑向交易中心提出，《质疑函》原件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交易中心，由交易中心负责答复。</w:t>
      </w:r>
      <w:r>
        <w:rPr>
          <w:rFonts w:hint="eastAsia" w:ascii="宋体" w:hAnsi="宋体" w:cs="宋体"/>
          <w:sz w:val="24"/>
          <w:szCs w:val="24"/>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7"/>
      <w:r/>
      <w:bookmarkEnd w:id="38"/>
      <w:r/>
      <w:bookmarkEnd w:id="39"/>
      <w:r/>
      <w:bookmarkEnd w:id="40"/>
      <w:r/>
      <w:bookmarkEnd w:id="41"/>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1.采购人</w:t>
      </w:r>
      <w:r/>
    </w:p>
    <w:p>
      <w:pPr>
        <w:pStyle w:val="860"/>
        <w:ind w:firstLine="480"/>
        <w:spacing w:line="252" w:lineRule="auto"/>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rPr>
        <w:t xml:space="preserve">南京鼓楼医院          </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南京市鼓楼区中山路3</w:t>
      </w:r>
      <w:r>
        <w:rPr>
          <w:rFonts w:ascii="宋体" w:hAnsi="宋体" w:cs="宋体"/>
          <w:sz w:val="24"/>
          <w:szCs w:val="24"/>
        </w:rPr>
        <w:t xml:space="preserve">21号</w:t>
      </w:r>
      <w:r>
        <w:rPr>
          <w:rFonts w:hint="eastAsia" w:ascii="宋体" w:hAnsi="宋体"/>
          <w:sz w:val="24"/>
          <w:szCs w:val="24"/>
        </w:rPr>
        <w:t xml:space="preserve"> </w:t>
      </w:r>
      <w:r>
        <w:rPr>
          <w:rFonts w:hint="eastAsia" w:ascii="宋体" w:hAnsi="宋体"/>
          <w:sz w:val="24"/>
          <w:szCs w:val="24"/>
        </w:rPr>
        <w:t xml:space="preserve">   </w:t>
      </w:r>
      <w:r/>
    </w:p>
    <w:p>
      <w:pPr>
        <w:pStyle w:val="860"/>
        <w:ind w:firstLine="480"/>
        <w:spacing w:line="252"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朱先生 </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4"/>
        </w:rPr>
        <w:t xml:space="preserve">025-</w:t>
      </w:r>
      <w:bookmarkStart w:id="42" w:name="_Toc28359009"/>
      <w:r/>
      <w:bookmarkStart w:id="43" w:name="_Toc28359086"/>
      <w:r>
        <w:rPr>
          <w:rFonts w:ascii="宋体" w:hAnsi="宋体"/>
          <w:sz w:val="24"/>
          <w:szCs w:val="24"/>
        </w:rPr>
        <w:t xml:space="preserve">83105798</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2.交易中心</w:t>
      </w:r>
      <w:bookmarkEnd w:id="42"/>
      <w:r/>
      <w:bookmarkEnd w:id="43"/>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rPr>
        <w:t xml:space="preserve">南京市建邺区江东中路265号  </w:t>
      </w:r>
      <w:r/>
    </w:p>
    <w:p>
      <w:pPr>
        <w:pStyle w:val="860"/>
        <w:ind w:firstLine="480"/>
        <w:spacing w:line="252"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李先生</w:t>
      </w:r>
      <w:r>
        <w:rPr>
          <w:rFonts w:hint="eastAsia" w:ascii="宋体" w:hAnsi="宋体"/>
          <w:sz w:val="24"/>
          <w:szCs w:val="24"/>
        </w:rPr>
      </w:r>
      <w:r/>
    </w:p>
    <w:p>
      <w:pPr>
        <w:pStyle w:val="860"/>
        <w:ind w:firstLine="480"/>
        <w:spacing w:line="252" w:lineRule="auto"/>
        <w:rPr>
          <w:rFonts w:hint="eastAsia"/>
        </w:rPr>
      </w:pPr>
      <w:r>
        <w:rPr>
          <w:rFonts w:hint="eastAsia" w:ascii="宋体" w:hAnsi="宋体"/>
          <w:sz w:val="24"/>
          <w:szCs w:val="24"/>
        </w:rPr>
        <w:t xml:space="preserve">联系电话：</w:t>
      </w:r>
      <w:r>
        <w:rPr>
          <w:rFonts w:hint="eastAsia" w:ascii="宋体" w:hAnsi="宋体"/>
          <w:sz w:val="24"/>
          <w:szCs w:val="24"/>
        </w:rPr>
        <w:t xml:space="preserve">025-68505735 </w:t>
      </w:r>
      <w:r>
        <w:rPr>
          <w:rFonts w:hint="eastAsia"/>
        </w:rPr>
      </w:r>
      <w:r/>
    </w:p>
    <w:p>
      <w:pPr>
        <w:pStyle w:val="860"/>
        <w:ind w:right="840"/>
        <w:jc w:val="center"/>
        <w:rPr>
          <w:rFonts w:hint="eastAsia" w:ascii="方正小标宋简体" w:hAnsi="方正小标宋简体" w:eastAsia="方正小标宋简体" w:cs="方正小标宋简体"/>
          <w:sz w:val="36"/>
          <w:szCs w:val="36"/>
        </w:rPr>
        <w:outlineLvl w:val="0"/>
      </w:pPr>
      <w:r>
        <w:rPr>
          <w:rFonts w:ascii="宋体" w:hAnsi="宋体"/>
          <w:sz w:val="24"/>
          <w:szCs w:val="24"/>
        </w:rPr>
        <w:br w:type="page" w:clear="all"/>
      </w:r>
      <w:bookmarkEnd w:id="1"/>
      <w:r/>
      <w:bookmarkEnd w:id="2"/>
      <w:r/>
      <w:bookmarkEnd w:id="3"/>
      <w:r/>
      <w:bookmarkEnd w:id="4"/>
      <w:r/>
      <w:bookmarkEnd w:id="5"/>
      <w:r/>
      <w:bookmarkStart w:id="44" w:name="_Toc120614211"/>
      <w:r>
        <w:rPr>
          <w:rFonts w:hint="eastAsia" w:ascii="方正小标宋简体" w:hAnsi="方正小标宋简体" w:eastAsia="方正小标宋简体" w:cs="方正小标宋简体"/>
          <w:sz w:val="36"/>
          <w:szCs w:val="36"/>
        </w:rPr>
        <w:t xml:space="preserve">第二章  </w:t>
      </w:r>
      <w:bookmarkEnd w:id="44"/>
      <w:r/>
      <w:bookmarkStart w:id="45" w:name="_Toc513029202"/>
      <w:r/>
      <w:bookmarkStart w:id="46" w:name="_Toc20823274"/>
      <w:r/>
      <w:bookmarkStart w:id="47" w:name="_Toc16938518"/>
      <w:r/>
      <w:bookmarkStart w:id="48" w:name="_Toc120614213"/>
      <w:r>
        <w:rPr>
          <w:rFonts w:hint="eastAsia" w:ascii="方正小标宋简体" w:hAnsi="方正小标宋简体" w:eastAsia="方正小标宋简体" w:cs="方正小标宋简体"/>
          <w:sz w:val="36"/>
          <w:szCs w:val="36"/>
        </w:rPr>
        <w:t xml:space="preserve">投标人须知</w:t>
      </w:r>
      <w:bookmarkEnd w:id="45"/>
      <w:r/>
      <w:bookmarkEnd w:id="46"/>
      <w:r/>
      <w:bookmarkEnd w:id="47"/>
      <w:r/>
      <w:bookmarkEnd w:id="48"/>
      <w:r>
        <w:rPr>
          <w:rFonts w:hint="eastAsia" w:ascii="方正小标宋简体" w:hAnsi="方正小标宋简体" w:eastAsia="方正小标宋简体" w:cs="方正小标宋简体"/>
          <w:sz w:val="36"/>
          <w:szCs w:val="36"/>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49" w:name="_Toc16938519"/>
      <w:r/>
      <w:bookmarkStart w:id="50" w:name="_Toc120614214"/>
      <w:r/>
      <w:bookmarkStart w:id="51" w:name="_Toc513029203"/>
      <w:r/>
      <w:bookmarkStart w:id="52" w:name="_Toc20823275"/>
      <w:r/>
      <w:bookmarkStart w:id="53" w:name="_Toc479757207"/>
      <w:r/>
      <w:bookmarkStart w:id="54" w:name="_Toc16938558"/>
      <w:r/>
      <w:bookmarkStart w:id="55" w:name="_Toc513029242"/>
      <w:r/>
      <w:bookmarkStart w:id="56" w:name="_Toc120614221"/>
      <w:r/>
      <w:bookmarkStart w:id="57" w:name="_Toc20823314"/>
      <w:r>
        <w:rPr>
          <w:rFonts w:hint="eastAsia" w:ascii="方正黑体_GBK" w:hAnsi="方正黑体_GBK" w:eastAsia="方正黑体_GBK" w:cs="方正黑体_GBK"/>
          <w:b w:val="0"/>
          <w:bCs w:val="0"/>
          <w:sz w:val="30"/>
          <w:szCs w:val="30"/>
        </w:rPr>
        <w:t xml:space="preserve">一、总则</w:t>
      </w:r>
      <w:bookmarkEnd w:id="49"/>
      <w:r/>
      <w:bookmarkEnd w:id="50"/>
      <w:r/>
      <w:bookmarkEnd w:id="51"/>
      <w:r/>
      <w:bookmarkEnd w:id="52"/>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58" w:name="_Hlt16619475"/>
      <w:r/>
      <w:bookmarkEnd w:id="58"/>
      <w:r/>
      <w:bookmarkStart w:id="59" w:name="_Toc458694821"/>
      <w:r/>
      <w:bookmarkStart w:id="60" w:name="_Toc20823276"/>
      <w:r/>
      <w:bookmarkStart w:id="61" w:name="_Toc513029204"/>
      <w:r/>
      <w:bookmarkStart w:id="62" w:name="_Toc16938520"/>
      <w:r>
        <w:rPr>
          <w:rFonts w:hint="eastAsia" w:ascii="方正楷体_GBK" w:hAnsi="方正楷体_GBK" w:eastAsia="方正楷体_GBK" w:cs="方正楷体_GBK"/>
        </w:rPr>
        <w:t xml:space="preserve">1</w:t>
      </w:r>
      <w:bookmarkEnd w:id="59"/>
      <w:r>
        <w:rPr>
          <w:rFonts w:hint="eastAsia" w:ascii="方正楷体_GBK" w:hAnsi="方正楷体_GBK" w:eastAsia="方正楷体_GBK" w:cs="方正楷体_GBK"/>
        </w:rPr>
        <w:t xml:space="preserve">.招标方式</w:t>
      </w:r>
      <w:bookmarkEnd w:id="60"/>
      <w:r/>
      <w:bookmarkEnd w:id="61"/>
      <w:r/>
      <w:bookmarkEnd w:id="62"/>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1.1 本次招标采取公开招标方式，本文件仅适用于招标公告中</w:t>
      </w:r>
      <w:r>
        <w:rPr>
          <w:rFonts w:hint="eastAsia" w:ascii="宋体" w:hAnsi="宋体"/>
          <w:sz w:val="24"/>
        </w:rPr>
        <w:t xml:space="preserve">所述项目。</w:t>
      </w:r>
      <w:r/>
    </w:p>
    <w:p>
      <w:pPr>
        <w:pStyle w:val="864"/>
        <w:ind w:firstLine="422"/>
        <w:spacing w:before="0" w:after="0" w:line="240" w:lineRule="auto"/>
        <w:rPr>
          <w:rFonts w:hint="eastAsia" w:ascii="方正楷体_GBK" w:hAnsi="方正楷体_GBK" w:eastAsia="方正楷体_GBK" w:cs="方正楷体_GBK"/>
        </w:rPr>
      </w:pPr>
      <w:r/>
      <w:bookmarkStart w:id="63" w:name="_Toc20823277"/>
      <w:r/>
      <w:bookmarkStart w:id="64" w:name="_Toc513029205"/>
      <w:r/>
      <w:bookmarkStart w:id="65" w:name="_Toc16938521"/>
      <w:r>
        <w:rPr>
          <w:rFonts w:hint="eastAsia" w:ascii="方正楷体_GBK" w:hAnsi="方正楷体_GBK" w:eastAsia="方正楷体_GBK" w:cs="方正楷体_GBK"/>
        </w:rPr>
        <w:t xml:space="preserve">2.合格的投标人</w:t>
      </w:r>
      <w:bookmarkEnd w:id="63"/>
      <w:r/>
      <w:bookmarkEnd w:id="64"/>
      <w:r/>
      <w:bookmarkEnd w:id="65"/>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2.1 满足招标公告对供应商资格要求的规定。</w:t>
      </w:r>
      <w:r/>
    </w:p>
    <w:p>
      <w:pPr>
        <w:pStyle w:val="860"/>
        <w:ind w:firstLine="420"/>
        <w:rPr>
          <w:rFonts w:hint="eastAsia" w:ascii="宋体" w:hAnsi="宋体"/>
          <w:sz w:val="24"/>
        </w:rPr>
      </w:pPr>
      <w:r>
        <w:rPr>
          <w:rFonts w:hint="eastAsia" w:ascii="宋体" w:hAnsi="宋体"/>
          <w:sz w:val="24"/>
        </w:rPr>
        <w:t xml:space="preserve">2.2 满足招标文件规定的实质性要求和条件。</w:t>
      </w:r>
      <w:r/>
    </w:p>
    <w:p>
      <w:pPr>
        <w:pStyle w:val="864"/>
        <w:ind w:firstLine="422"/>
        <w:spacing w:before="0" w:after="0" w:line="240" w:lineRule="auto"/>
        <w:rPr>
          <w:rFonts w:hint="eastAsia" w:ascii="方正楷体_GBK" w:hAnsi="方正楷体_GBK" w:eastAsia="方正楷体_GBK" w:cs="方正楷体_GBK"/>
        </w:rPr>
      </w:pPr>
      <w:r/>
      <w:bookmarkStart w:id="66" w:name="_Toc513029206"/>
      <w:r/>
      <w:bookmarkStart w:id="67" w:name="_Toc16938522"/>
      <w:r/>
      <w:bookmarkStart w:id="68" w:name="_Toc20823278"/>
      <w:r>
        <w:rPr>
          <w:rFonts w:hint="eastAsia" w:ascii="方正楷体_GBK" w:hAnsi="方正楷体_GBK" w:eastAsia="方正楷体_GBK" w:cs="方正楷体_GBK"/>
        </w:rPr>
        <w:t xml:space="preserve">3.适用法律</w:t>
      </w:r>
      <w:bookmarkEnd w:id="66"/>
      <w:r/>
      <w:bookmarkEnd w:id="67"/>
      <w:r/>
      <w:bookmarkEnd w:id="68"/>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864"/>
        <w:ind w:firstLine="422"/>
        <w:spacing w:before="0" w:after="0" w:line="240" w:lineRule="auto"/>
        <w:rPr>
          <w:rFonts w:hint="eastAsia" w:ascii="方正楷体_GBK" w:hAnsi="方正楷体_GBK" w:eastAsia="方正楷体_GBK" w:cs="方正楷体_GBK"/>
        </w:rPr>
      </w:pPr>
      <w:r/>
      <w:bookmarkStart w:id="69" w:name="_Toc513029207"/>
      <w:r/>
      <w:bookmarkStart w:id="70" w:name="_Toc462564067"/>
      <w:r/>
      <w:bookmarkStart w:id="71" w:name="_Toc20823279"/>
      <w:r/>
      <w:bookmarkStart w:id="72" w:name="_Toc16938523"/>
      <w:r>
        <w:rPr>
          <w:rFonts w:hint="eastAsia" w:ascii="方正楷体_GBK" w:hAnsi="方正楷体_GBK" w:eastAsia="方正楷体_GBK" w:cs="方正楷体_GBK"/>
        </w:rPr>
        <w:t xml:space="preserve">4.投标费用</w:t>
      </w:r>
      <w:bookmarkEnd w:id="69"/>
      <w:r/>
      <w:bookmarkEnd w:id="70"/>
      <w:r/>
      <w:bookmarkEnd w:id="71"/>
      <w:r/>
      <w:bookmarkEnd w:id="72"/>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pStyle w:val="860"/>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pStyle w:val="860"/>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73" w:name="_Toc16938525"/>
      <w:r/>
      <w:bookmarkStart w:id="74" w:name="_Toc513029209"/>
      <w:r/>
      <w:bookmarkStart w:id="75" w:name="_Toc20823281"/>
      <w:r/>
      <w:bookmarkStart w:id="76" w:name="_Toc120614215"/>
      <w:r>
        <w:rPr>
          <w:rFonts w:hint="eastAsia" w:ascii="方正黑体_GBK" w:hAnsi="方正黑体_GBK" w:eastAsia="方正黑体_GBK" w:cs="方正黑体_GBK"/>
          <w:b w:val="0"/>
          <w:bCs w:val="0"/>
          <w:sz w:val="30"/>
          <w:szCs w:val="30"/>
        </w:rPr>
        <w:t xml:space="preserve">二、招标文件</w:t>
      </w:r>
      <w:bookmarkEnd w:id="73"/>
      <w:r/>
      <w:bookmarkEnd w:id="74"/>
      <w:r/>
      <w:bookmarkEnd w:id="75"/>
      <w:r/>
      <w:bookmarkEnd w:id="76"/>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77" w:name="_Toc16938526"/>
      <w:r/>
      <w:bookmarkStart w:id="78" w:name="_Toc513029210"/>
      <w:r/>
      <w:bookmarkStart w:id="79" w:name="_Toc20823282"/>
      <w:r>
        <w:rPr>
          <w:rFonts w:hint="eastAsia" w:ascii="方正楷体_GBK" w:hAnsi="方正楷体_GBK" w:eastAsia="方正楷体_GBK" w:cs="方正楷体_GBK"/>
        </w:rPr>
        <w:t xml:space="preserve">6.招标文件构成</w:t>
      </w:r>
      <w:bookmarkEnd w:id="77"/>
      <w:r/>
      <w:bookmarkEnd w:id="78"/>
      <w:r/>
      <w:bookmarkEnd w:id="79"/>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6.1 招标文件由以下部分组成：</w:t>
      </w:r>
      <w:r/>
    </w:p>
    <w:p>
      <w:pPr>
        <w:pStyle w:val="860"/>
        <w:ind w:firstLine="420"/>
        <w:rPr>
          <w:rFonts w:hint="eastAsia" w:ascii="宋体" w:hAnsi="宋体"/>
          <w:sz w:val="24"/>
        </w:rPr>
      </w:pPr>
      <w:r>
        <w:rPr>
          <w:rFonts w:hint="eastAsia" w:ascii="宋体" w:hAnsi="宋体"/>
          <w:sz w:val="24"/>
        </w:rPr>
        <w:t xml:space="preserve">（1）投标邀请</w:t>
      </w:r>
      <w:r/>
    </w:p>
    <w:p>
      <w:pPr>
        <w:pStyle w:val="860"/>
        <w:ind w:firstLine="420"/>
        <w:rPr>
          <w:rFonts w:hint="eastAsia" w:ascii="宋体" w:hAnsi="宋体"/>
          <w:sz w:val="24"/>
        </w:rPr>
      </w:pPr>
      <w:r>
        <w:rPr>
          <w:rFonts w:hint="eastAsia" w:ascii="宋体" w:hAnsi="宋体"/>
          <w:sz w:val="24"/>
        </w:rPr>
        <w:t xml:space="preserve">（2）投标人须知</w:t>
      </w:r>
      <w:r/>
    </w:p>
    <w:p>
      <w:pPr>
        <w:pStyle w:val="860"/>
        <w:ind w:firstLine="420"/>
        <w:rPr>
          <w:rFonts w:hint="eastAsia" w:ascii="宋体" w:hAnsi="宋体"/>
          <w:sz w:val="24"/>
        </w:rPr>
      </w:pPr>
      <w:r>
        <w:rPr>
          <w:rFonts w:hint="eastAsia" w:ascii="宋体" w:hAnsi="宋体"/>
          <w:sz w:val="24"/>
        </w:rPr>
        <w:t xml:space="preserve">（3）合同文本</w:t>
      </w:r>
      <w:r/>
    </w:p>
    <w:p>
      <w:pPr>
        <w:pStyle w:val="860"/>
        <w:ind w:firstLine="420"/>
        <w:rPr>
          <w:rFonts w:hint="eastAsia" w:ascii="宋体" w:hAnsi="宋体"/>
          <w:sz w:val="24"/>
        </w:rPr>
      </w:pPr>
      <w:r>
        <w:rPr>
          <w:rFonts w:hint="eastAsia" w:ascii="宋体" w:hAnsi="宋体"/>
          <w:sz w:val="24"/>
        </w:rPr>
        <w:t xml:space="preserve">（4）采购需求</w:t>
      </w:r>
      <w:r/>
    </w:p>
    <w:p>
      <w:pPr>
        <w:pStyle w:val="860"/>
        <w:ind w:firstLine="420"/>
        <w:rPr>
          <w:rFonts w:hint="eastAsia" w:ascii="宋体" w:hAnsi="宋体"/>
          <w:sz w:val="24"/>
        </w:rPr>
      </w:pPr>
      <w:r>
        <w:rPr>
          <w:rFonts w:hint="eastAsia" w:ascii="宋体" w:hAnsi="宋体"/>
          <w:sz w:val="24"/>
        </w:rPr>
        <w:t xml:space="preserve">（5）评标方法与评标标准</w:t>
      </w:r>
      <w:r/>
    </w:p>
    <w:p>
      <w:pPr>
        <w:pStyle w:val="860"/>
        <w:ind w:firstLine="420"/>
        <w:rPr>
          <w:rFonts w:hint="eastAsia" w:ascii="宋体" w:hAnsi="宋体"/>
          <w:sz w:val="24"/>
        </w:rPr>
      </w:pPr>
      <w:r>
        <w:rPr>
          <w:rFonts w:hint="eastAsia" w:ascii="宋体" w:hAnsi="宋体"/>
          <w:sz w:val="24"/>
        </w:rPr>
        <w:t xml:space="preserve">（6）投标文件格式</w:t>
      </w:r>
      <w:r/>
    </w:p>
    <w:p>
      <w:pPr>
        <w:pStyle w:val="860"/>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pStyle w:val="860"/>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4"/>
        <w:ind w:firstLine="422"/>
        <w:spacing w:before="0" w:after="0" w:line="240" w:lineRule="auto"/>
        <w:rPr>
          <w:rFonts w:hint="eastAsia" w:ascii="方正楷体_GBK" w:hAnsi="方正楷体_GBK" w:eastAsia="方正楷体_GBK" w:cs="方正楷体_GBK"/>
        </w:rPr>
      </w:pPr>
      <w:r/>
      <w:bookmarkStart w:id="80" w:name="_Toc513029211"/>
      <w:r/>
      <w:bookmarkStart w:id="81" w:name="_Toc16938527"/>
      <w:r/>
      <w:bookmarkStart w:id="82" w:name="_Toc20823283"/>
      <w:r/>
      <w:bookmarkStart w:id="83" w:name="_Toc462564070"/>
      <w:r>
        <w:rPr>
          <w:rFonts w:hint="eastAsia" w:ascii="方正楷体_GBK" w:hAnsi="方正楷体_GBK" w:eastAsia="方正楷体_GBK" w:cs="方正楷体_GBK"/>
        </w:rPr>
        <w:t xml:space="preserve">7.招标文件的澄清</w:t>
      </w:r>
      <w:bookmarkEnd w:id="80"/>
      <w:r/>
      <w:bookmarkEnd w:id="81"/>
      <w:r/>
      <w:bookmarkEnd w:id="82"/>
      <w:r/>
      <w:bookmarkEnd w:id="83"/>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7.1 任何要求对招标文件进行澄清的</w:t>
      </w:r>
      <w:r>
        <w:rPr>
          <w:rFonts w:hint="eastAsia" w:ascii="宋体" w:hAnsi="宋体"/>
          <w:sz w:val="24"/>
        </w:rPr>
        <w:t xml:space="preserve">投标人，应在投标截止期十日前按招标公告中的通讯地址，以书面形式通知交易中心。</w:t>
      </w:r>
      <w:r/>
    </w:p>
    <w:p>
      <w:pPr>
        <w:pStyle w:val="864"/>
        <w:ind w:firstLine="422"/>
        <w:spacing w:before="0" w:after="0" w:line="240" w:lineRule="auto"/>
        <w:rPr>
          <w:rFonts w:hint="eastAsia" w:ascii="方正楷体_GBK" w:hAnsi="方正楷体_GBK" w:eastAsia="方正楷体_GBK" w:cs="方正楷体_GBK"/>
        </w:rPr>
      </w:pPr>
      <w:r/>
      <w:bookmarkStart w:id="84" w:name="_Toc513029212"/>
      <w:r/>
      <w:bookmarkStart w:id="85" w:name="_Toc20823284"/>
      <w:r/>
      <w:bookmarkStart w:id="86" w:name="_Toc16938528"/>
      <w:r/>
      <w:bookmarkStart w:id="87" w:name="_Toc462564071"/>
      <w:r>
        <w:rPr>
          <w:rFonts w:hint="eastAsia" w:ascii="方正楷体_GBK" w:hAnsi="方正楷体_GBK" w:eastAsia="方正楷体_GBK" w:cs="方正楷体_GBK"/>
        </w:rPr>
        <w:t xml:space="preserve">8.招标文件的修改</w:t>
      </w:r>
      <w:bookmarkEnd w:id="84"/>
      <w:r/>
      <w:bookmarkEnd w:id="85"/>
      <w:r/>
      <w:bookmarkEnd w:id="86"/>
      <w:r/>
      <w:bookmarkEnd w:id="87"/>
      <w:r>
        <w:rPr>
          <w:rFonts w:hint="eastAsia" w:ascii="方正楷体_GBK" w:hAnsi="方正楷体_GBK" w:eastAsia="方正楷体_GBK" w:cs="方正楷体_GBK"/>
        </w:rPr>
      </w:r>
      <w:r/>
    </w:p>
    <w:p>
      <w:pPr>
        <w:pStyle w:val="860"/>
        <w:ind w:firstLine="420"/>
        <w:rPr>
          <w:rFonts w:hint="eastAsia" w:ascii="宋体" w:hAnsi="宋体"/>
          <w:sz w:val="24"/>
        </w:rPr>
      </w:pPr>
      <w:r/>
      <w:bookmarkStart w:id="88" w:name="_Toc20823285"/>
      <w:r/>
      <w:bookmarkStart w:id="89" w:name="_Toc513029213"/>
      <w:r/>
      <w:bookmarkStart w:id="90" w:name="_Toc120614216"/>
      <w:r/>
      <w:bookmarkStart w:id="91" w:name="_Toc16938529"/>
      <w:r/>
      <w:bookmarkStart w:id="92" w:name="_Toc462564072"/>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pStyle w:val="860"/>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pStyle w:val="860"/>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w:t>
      </w:r>
      <w:r>
        <w:rPr>
          <w:rFonts w:hint="eastAsia" w:ascii="方正黑体_GBK" w:hAnsi="方正黑体_GBK" w:eastAsia="方正黑体_GBK" w:cs="方正黑体_GBK"/>
          <w:b w:val="0"/>
          <w:bCs w:val="0"/>
          <w:sz w:val="30"/>
          <w:szCs w:val="30"/>
        </w:rPr>
        <w:t xml:space="preserve">投标文件的编制</w:t>
      </w:r>
      <w:bookmarkEnd w:id="88"/>
      <w:r/>
      <w:bookmarkEnd w:id="89"/>
      <w:r/>
      <w:bookmarkEnd w:id="90"/>
      <w:r/>
      <w:bookmarkEnd w:id="91"/>
      <w:r/>
      <w:bookmarkEnd w:id="92"/>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93" w:name="_Toc16938530"/>
      <w:r/>
      <w:bookmarkStart w:id="94" w:name="_Toc513029214"/>
      <w:r/>
      <w:bookmarkStart w:id="95" w:name="_Toc462564073"/>
      <w:r/>
      <w:bookmarkStart w:id="96" w:name="_Toc20823286"/>
      <w:r>
        <w:rPr>
          <w:rFonts w:hint="eastAsia" w:ascii="方正楷体_GBK" w:hAnsi="方正楷体_GBK" w:eastAsia="方正楷体_GBK" w:cs="方正楷体_GBK"/>
        </w:rPr>
        <w:t xml:space="preserve">9.投标文件的语言及度量衡单位</w:t>
      </w:r>
      <w:bookmarkEnd w:id="93"/>
      <w:r/>
      <w:bookmarkEnd w:id="94"/>
      <w:r/>
      <w:bookmarkEnd w:id="95"/>
      <w:r/>
      <w:bookmarkEnd w:id="96"/>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pStyle w:val="860"/>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864"/>
        <w:ind w:firstLine="422"/>
        <w:spacing w:before="0" w:after="0" w:line="240" w:lineRule="auto"/>
        <w:rPr>
          <w:rFonts w:hint="eastAsia" w:ascii="方正楷体_GBK" w:hAnsi="方正楷体_GBK" w:eastAsia="方正楷体_GBK" w:cs="方正楷体_GBK"/>
        </w:rPr>
      </w:pPr>
      <w:r/>
      <w:bookmarkStart w:id="97" w:name="_Toc513029215"/>
      <w:r/>
      <w:bookmarkStart w:id="98" w:name="_Toc462564074"/>
      <w:r/>
      <w:bookmarkStart w:id="99" w:name="_Toc20823287"/>
      <w:r/>
      <w:bookmarkStart w:id="100" w:name="_Toc16938531"/>
      <w:r>
        <w:rPr>
          <w:rFonts w:hint="eastAsia" w:ascii="方正楷体_GBK" w:hAnsi="方正楷体_GBK" w:eastAsia="方正楷体_GBK" w:cs="方正楷体_GBK"/>
        </w:rPr>
        <w:t xml:space="preserve">10.投标文件构成</w:t>
      </w:r>
      <w:bookmarkEnd w:id="97"/>
      <w:r/>
      <w:bookmarkEnd w:id="98"/>
      <w:r/>
      <w:bookmarkEnd w:id="99"/>
      <w:r/>
      <w:bookmarkEnd w:id="100"/>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pStyle w:val="860"/>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w:t>
      </w:r>
      <w:r>
        <w:rPr>
          <w:rFonts w:hint="eastAsia" w:ascii="宋体" w:hAnsi="宋体"/>
          <w:sz w:val="24"/>
        </w:rPr>
        <w:t xml:space="preserve">准。</w:t>
      </w:r>
      <w:r/>
    </w:p>
    <w:p>
      <w:pPr>
        <w:pStyle w:val="864"/>
        <w:ind w:firstLine="422"/>
        <w:spacing w:before="0" w:after="0" w:line="240" w:lineRule="auto"/>
        <w:rPr>
          <w:rFonts w:hint="eastAsia" w:ascii="方正楷体_GBK" w:hAnsi="方正楷体_GBK" w:eastAsia="方正楷体_GBK" w:cs="方正楷体_GBK"/>
        </w:rPr>
      </w:pPr>
      <w:r/>
      <w:bookmarkStart w:id="101" w:name="_Hlt26670360"/>
      <w:r/>
      <w:bookmarkEnd w:id="101"/>
      <w:r/>
      <w:bookmarkStart w:id="102" w:name="_Hlt26954838"/>
      <w:r/>
      <w:bookmarkEnd w:id="102"/>
      <w:r/>
      <w:bookmarkStart w:id="103" w:name="_Toc49090509"/>
      <w:r/>
      <w:bookmarkStart w:id="104" w:name="_Toc14577357"/>
      <w:r/>
      <w:bookmarkStart w:id="105" w:name="_Toc513029219"/>
      <w:r/>
      <w:bookmarkStart w:id="106" w:name="_Toc49090507"/>
      <w:r/>
      <w:bookmarkStart w:id="107" w:name="_Toc14577354"/>
      <w:r/>
      <w:bookmarkStart w:id="108" w:name="_Toc513029216"/>
      <w:r/>
      <w:bookmarkStart w:id="109" w:name="_Hlt26668975"/>
      <w:r/>
      <w:bookmarkEnd w:id="109"/>
      <w:r>
        <w:rPr>
          <w:rFonts w:hint="eastAsia" w:ascii="方正楷体_GBK" w:hAnsi="方正楷体_GBK" w:eastAsia="方正楷体_GBK" w:cs="方正楷体_GBK"/>
        </w:rPr>
        <w:t xml:space="preserve">11.证明投标人及投标标的符合招标文件规定的文件</w:t>
      </w:r>
      <w:bookmarkEnd w:id="103"/>
      <w:r/>
      <w:bookmarkEnd w:id="104"/>
      <w:r/>
      <w:bookmarkEnd w:id="105"/>
      <w:r>
        <w:rPr>
          <w:rFonts w:hint="eastAsia" w:ascii="方正楷体_GBK" w:hAnsi="方正楷体_GBK" w:eastAsia="方正楷体_GBK" w:cs="方正楷体_GBK"/>
        </w:rPr>
      </w:r>
      <w:r/>
    </w:p>
    <w:p>
      <w:pPr>
        <w:pStyle w:val="860"/>
        <w:ind w:firstLine="420"/>
        <w:rPr>
          <w:rFonts w:hint="eastAsia" w:ascii="宋体" w:hAnsi="宋体"/>
          <w:sz w:val="24"/>
        </w:rPr>
      </w:pPr>
      <w:r/>
      <w:bookmarkEnd w:id="106"/>
      <w:r/>
      <w:bookmarkEnd w:id="107"/>
      <w:r/>
      <w:bookmarkEnd w:id="108"/>
      <w:r/>
      <w:bookmarkStart w:id="110" w:name="_Toc14577355"/>
      <w:r/>
      <w:bookmarkStart w:id="111" w:name="_Toc49090508"/>
      <w:r>
        <w:rPr>
          <w:rFonts w:hint="eastAsia" w:ascii="宋体" w:hAnsi="宋体"/>
          <w:sz w:val="24"/>
        </w:rPr>
        <w:t xml:space="preserve">11.1 投标人应按照法律、法规、规章和规范性文件以及招标文件要求提交证明文件，证明其投标标的符合招标文件规定。</w:t>
      </w:r>
      <w:r/>
    </w:p>
    <w:p>
      <w:pPr>
        <w:pStyle w:val="860"/>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10"/>
      <w:r/>
      <w:bookmarkStart w:id="112" w:name="_Hlt26670373"/>
      <w:r/>
      <w:bookmarkEnd w:id="112"/>
      <w:r>
        <w:rPr>
          <w:rFonts w:hint="eastAsia" w:ascii="方正楷体_GBK" w:hAnsi="方正楷体_GBK" w:eastAsia="方正楷体_GBK" w:cs="方正楷体_GBK"/>
        </w:rPr>
        <w:t xml:space="preserve">表</w:t>
      </w:r>
      <w:bookmarkEnd w:id="111"/>
      <w:r>
        <w:rPr>
          <w:rFonts w:hint="eastAsia" w:ascii="方正楷体_GBK" w:hAnsi="方正楷体_GBK" w:eastAsia="方正楷体_GBK" w:cs="方正楷体_GBK"/>
        </w:rPr>
        <w:t xml:space="preserve">（如有）</w:t>
      </w:r>
      <w:r/>
    </w:p>
    <w:p>
      <w:pPr>
        <w:pStyle w:val="860"/>
        <w:ind w:firstLine="420"/>
        <w:rPr>
          <w:rFonts w:hint="eastAsia" w:ascii="宋体" w:hAnsi="宋体"/>
          <w:sz w:val="24"/>
        </w:rPr>
      </w:pPr>
      <w:r>
        <w:rPr>
          <w:rFonts w:hint="eastAsia" w:ascii="宋体" w:hAnsi="宋体"/>
          <w:sz w:val="24"/>
        </w:rPr>
        <w:t xml:space="preserve">12.1 投</w:t>
      </w:r>
      <w:bookmarkStart w:id="113" w:name="_Hlt26954840"/>
      <w:r/>
      <w:bookmarkEnd w:id="113"/>
      <w:r>
        <w:rPr>
          <w:rFonts w:hint="eastAsia" w:ascii="宋体" w:hAnsi="宋体"/>
          <w:sz w:val="24"/>
        </w:rPr>
        <w:t xml:space="preserve">标人应按照招标文件规定格式填报投标分项报价表</w:t>
      </w:r>
      <w:bookmarkStart w:id="114" w:name="_Hlt26670399"/>
      <w:r/>
      <w:bookmarkEnd w:id="114"/>
      <w:r>
        <w:rPr>
          <w:rFonts w:hint="eastAsia" w:ascii="宋体" w:hAnsi="宋体"/>
          <w:sz w:val="24"/>
        </w:rPr>
        <w:t xml:space="preserve">。</w:t>
      </w:r>
      <w:r/>
    </w:p>
    <w:p>
      <w:pPr>
        <w:pStyle w:val="860"/>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864"/>
        <w:ind w:firstLine="422"/>
        <w:spacing w:before="0" w:after="0" w:line="240" w:lineRule="auto"/>
        <w:rPr>
          <w:rFonts w:hint="eastAsia" w:ascii="方正楷体_GBK" w:hAnsi="方正楷体_GBK" w:eastAsia="方正楷体_GBK" w:cs="方正楷体_GBK"/>
        </w:rPr>
      </w:pPr>
      <w:r/>
      <w:bookmarkStart w:id="115" w:name="_Hlt26954842"/>
      <w:r/>
      <w:bookmarkEnd w:id="115"/>
      <w:r/>
      <w:bookmarkStart w:id="116" w:name="_Hlt26668983"/>
      <w:r/>
      <w:bookmarkEnd w:id="116"/>
      <w:r/>
      <w:bookmarkStart w:id="117" w:name="_Hlt26954846"/>
      <w:r/>
      <w:bookmarkEnd w:id="117"/>
      <w:r/>
      <w:bookmarkStart w:id="118" w:name="_Hlt26670403"/>
      <w:r/>
      <w:bookmarkEnd w:id="118"/>
      <w:r/>
      <w:bookmarkStart w:id="119" w:name="_Hlt26670425"/>
      <w:r/>
      <w:bookmarkEnd w:id="119"/>
      <w:r/>
      <w:bookmarkStart w:id="120" w:name="_Hlt26670486"/>
      <w:r/>
      <w:bookmarkEnd w:id="120"/>
      <w:r/>
      <w:bookmarkStart w:id="121" w:name="_Hlt26670482"/>
      <w:r/>
      <w:bookmarkEnd w:id="121"/>
      <w:r/>
      <w:bookmarkStart w:id="122" w:name="_Hlt26954848"/>
      <w:r/>
      <w:bookmarkEnd w:id="122"/>
      <w:r/>
      <w:bookmarkStart w:id="123" w:name="_Hlt26954731"/>
      <w:r/>
      <w:bookmarkEnd w:id="123"/>
      <w:r/>
      <w:bookmarkStart w:id="124" w:name="_Hlt26954844"/>
      <w:r/>
      <w:bookmarkEnd w:id="124"/>
      <w:r>
        <w:rPr>
          <w:rFonts w:hint="eastAsia" w:ascii="方正楷体_GBK" w:hAnsi="方正楷体_GBK" w:eastAsia="方正楷体_GBK" w:cs="方正楷体_GBK"/>
        </w:rPr>
        <w:t xml:space="preserve">13.响应及偏离表</w:t>
      </w:r>
      <w:r/>
    </w:p>
    <w:p>
      <w:pPr>
        <w:pStyle w:val="860"/>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w:t>
      </w:r>
      <w:r>
        <w:rPr>
          <w:rFonts w:hint="eastAsia" w:ascii="宋体" w:hAnsi="宋体"/>
          <w:sz w:val="24"/>
          <w:lang w:val="zh-CN"/>
        </w:rPr>
        <w:t xml:space="preserve">应或偏离说明。</w:t>
      </w:r>
      <w:r/>
    </w:p>
    <w:p>
      <w:pPr>
        <w:pStyle w:val="860"/>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864"/>
        <w:ind w:firstLine="422"/>
        <w:spacing w:before="0" w:after="0" w:line="240" w:lineRule="auto"/>
        <w:rPr>
          <w:rFonts w:hint="eastAsia" w:ascii="方正楷体_GBK" w:hAnsi="方正楷体_GBK" w:eastAsia="方正楷体_GBK" w:cs="方正楷体_GBK"/>
        </w:rPr>
      </w:pPr>
      <w:r/>
      <w:bookmarkStart w:id="125" w:name="_Toc14577359"/>
      <w:r/>
      <w:bookmarkStart w:id="126" w:name="_Toc49090510"/>
      <w:r>
        <w:rPr>
          <w:rFonts w:hint="eastAsia" w:ascii="方正楷体_GBK" w:hAnsi="方正楷体_GBK" w:eastAsia="方正楷体_GBK" w:cs="方正楷体_GBK"/>
        </w:rPr>
        <w:t xml:space="preserve">14.投标函和开标一览表及核心产品品牌一览表</w:t>
      </w:r>
      <w:r/>
    </w:p>
    <w:p>
      <w:pPr>
        <w:pStyle w:val="860"/>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pStyle w:val="860"/>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pStyle w:val="860"/>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r/>
    </w:p>
    <w:p>
      <w:pPr>
        <w:pStyle w:val="864"/>
        <w:ind w:firstLine="422"/>
        <w:spacing w:before="0" w:after="0" w:line="240" w:lineRule="auto"/>
        <w:rPr>
          <w:rFonts w:hint="eastAsia" w:ascii="方正楷体_GBK" w:hAnsi="方正楷体_GBK" w:eastAsia="方正楷体_GBK" w:cs="方正楷体_GBK"/>
        </w:rPr>
      </w:pPr>
      <w:r/>
      <w:bookmarkEnd w:id="125"/>
      <w:r/>
      <w:bookmarkEnd w:id="126"/>
      <w:r/>
      <w:bookmarkStart w:id="127" w:name="_Hlt26954734"/>
      <w:r/>
      <w:bookmarkEnd w:id="127"/>
      <w:r/>
      <w:bookmarkStart w:id="128" w:name="_Hlt26954850"/>
      <w:r/>
      <w:bookmarkEnd w:id="128"/>
      <w:r/>
      <w:bookmarkStart w:id="129" w:name="_Hlt26670489"/>
      <w:r/>
      <w:bookmarkEnd w:id="129"/>
      <w:r/>
      <w:bookmarkStart w:id="130" w:name="_Toc14577360"/>
      <w:r/>
      <w:bookmarkStart w:id="131" w:name="_Toc49090511"/>
      <w:r>
        <w:rPr>
          <w:rFonts w:hint="eastAsia" w:ascii="方正楷体_GBK" w:hAnsi="方正楷体_GBK" w:eastAsia="方正楷体_GBK" w:cs="方正楷体_GBK"/>
        </w:rPr>
        <w:t xml:space="preserve">15.投标有效期</w:t>
      </w:r>
      <w:bookmarkEnd w:id="130"/>
      <w:r/>
      <w:bookmarkEnd w:id="131"/>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w:t>
      </w:r>
      <w:r>
        <w:rPr>
          <w:rFonts w:hint="eastAsia" w:ascii="宋体" w:hAnsi="宋体"/>
          <w:sz w:val="24"/>
          <w:lang w:val="zh-CN"/>
        </w:rPr>
        <w:t xml:space="preserve">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pStyle w:val="860"/>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132" w:name="_Hlt26954739"/>
      <w:r/>
      <w:bookmarkEnd w:id="132"/>
      <w:r/>
      <w:bookmarkStart w:id="133" w:name="_Hlt26954852"/>
      <w:r/>
      <w:bookmarkEnd w:id="133"/>
      <w:r/>
      <w:bookmarkStart w:id="134" w:name="_Toc120614217"/>
      <w:r/>
      <w:bookmarkStart w:id="135" w:name="_Toc16938540"/>
      <w:r/>
      <w:bookmarkStart w:id="136" w:name="_Toc20823296"/>
      <w:r/>
      <w:bookmarkStart w:id="137" w:name="_Toc513029224"/>
      <w:r>
        <w:rPr>
          <w:rFonts w:hint="eastAsia" w:ascii="方正黑体_GBK" w:hAnsi="方正黑体_GBK" w:eastAsia="方正黑体_GBK" w:cs="方正黑体_GBK"/>
          <w:b w:val="0"/>
          <w:bCs w:val="0"/>
          <w:sz w:val="30"/>
          <w:szCs w:val="30"/>
        </w:rPr>
        <w:t xml:space="preserve">四、投标文件的递交</w:t>
      </w:r>
      <w:bookmarkEnd w:id="134"/>
      <w:r/>
      <w:bookmarkEnd w:id="135"/>
      <w:r/>
      <w:bookmarkEnd w:id="136"/>
      <w:r/>
      <w:bookmarkEnd w:id="137"/>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138" w:name="_Toc20823297"/>
      <w:r/>
      <w:bookmarkStart w:id="139" w:name="_Toc16938541"/>
      <w:r/>
      <w:bookmarkStart w:id="140" w:name="_Toc462564084"/>
      <w:r/>
      <w:bookmarkStart w:id="141" w:name="_Toc513029225"/>
      <w:r>
        <w:rPr>
          <w:rFonts w:hint="eastAsia" w:ascii="方正楷体_GBK" w:hAnsi="方正楷体_GBK" w:eastAsia="方正楷体_GBK" w:cs="方正楷体_GBK"/>
        </w:rPr>
        <w:t xml:space="preserve">17.投标文件</w:t>
      </w:r>
      <w:bookmarkEnd w:id="138"/>
      <w:r/>
      <w:bookmarkEnd w:id="139"/>
      <w:r/>
      <w:bookmarkEnd w:id="140"/>
      <w:r/>
      <w:bookmarkEnd w:id="141"/>
      <w:r>
        <w:rPr>
          <w:rFonts w:hint="eastAsia" w:ascii="方正楷体_GBK" w:hAnsi="方正楷体_GBK" w:eastAsia="方正楷体_GBK" w:cs="方正楷体_GBK"/>
        </w:rPr>
        <w:t xml:space="preserve">的递交</w:t>
      </w:r>
      <w:r/>
    </w:p>
    <w:p>
      <w:pPr>
        <w:pStyle w:val="860"/>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20823298"/>
      <w:r/>
      <w:bookmarkStart w:id="143" w:name="_Toc513029226"/>
      <w:r/>
      <w:bookmarkStart w:id="144" w:name="_Toc16938542"/>
      <w:r>
        <w:rPr>
          <w:rFonts w:hint="eastAsia" w:ascii="宋体" w:hAnsi="宋体"/>
          <w:sz w:val="24"/>
          <w:lang w:val="zh-CN"/>
        </w:rPr>
      </w:r>
      <w:r/>
    </w:p>
    <w:p>
      <w:pPr>
        <w:pStyle w:val="860"/>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864"/>
        <w:ind w:firstLine="422"/>
        <w:spacing w:before="0" w:after="0" w:line="240" w:lineRule="auto"/>
        <w:rPr>
          <w:rFonts w:hint="eastAsia" w:ascii="方正楷体_GBK" w:hAnsi="方正楷体_GBK" w:eastAsia="方正楷体_GBK" w:cs="方正楷体_GBK"/>
        </w:rPr>
      </w:pPr>
      <w:r/>
      <w:bookmarkStart w:id="145" w:name="_Toc16938543"/>
      <w:r/>
      <w:bookmarkStart w:id="146" w:name="_Toc20823299"/>
      <w:r/>
      <w:bookmarkStart w:id="147" w:name="_Toc513029227"/>
      <w:r>
        <w:rPr>
          <w:rFonts w:hint="eastAsia" w:ascii="方正楷体_GBK" w:hAnsi="方正楷体_GBK" w:eastAsia="方正楷体_GBK" w:cs="方正楷体_GBK"/>
        </w:rPr>
        <w:t xml:space="preserve">18.投标文件</w:t>
      </w:r>
      <w:bookmarkEnd w:id="145"/>
      <w:r/>
      <w:bookmarkEnd w:id="146"/>
      <w:r/>
      <w:bookmarkEnd w:id="147"/>
      <w:r>
        <w:rPr>
          <w:rFonts w:hint="eastAsia" w:ascii="方正楷体_GBK" w:hAnsi="方正楷体_GBK" w:eastAsia="方正楷体_GBK" w:cs="方正楷体_GBK"/>
        </w:rPr>
        <w:t xml:space="preserve">的拒收</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864"/>
        <w:ind w:firstLine="422"/>
        <w:spacing w:before="0" w:after="0" w:line="240" w:lineRule="auto"/>
        <w:rPr>
          <w:rFonts w:hint="eastAsia" w:ascii="方正楷体_GBK" w:hAnsi="方正楷体_GBK" w:eastAsia="方正楷体_GBK" w:cs="方正楷体_GBK"/>
        </w:rPr>
      </w:pPr>
      <w:r/>
      <w:bookmarkStart w:id="148" w:name="_Toc513029228"/>
      <w:r/>
      <w:bookmarkStart w:id="149" w:name="_Toc16938544"/>
      <w:r/>
      <w:bookmarkStart w:id="150" w:name="_Toc20823300"/>
      <w:r>
        <w:rPr>
          <w:rFonts w:hint="eastAsia" w:ascii="方正楷体_GBK" w:hAnsi="方正楷体_GBK" w:eastAsia="方正楷体_GBK" w:cs="方正楷体_GBK"/>
        </w:rPr>
        <w:t xml:space="preserve">19.投标文件的撤回和修改</w:t>
      </w:r>
      <w:bookmarkEnd w:id="148"/>
      <w:r/>
      <w:bookmarkEnd w:id="149"/>
      <w:r/>
      <w:bookmarkEnd w:id="150"/>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w:t>
      </w:r>
      <w:r>
        <w:rPr>
          <w:rFonts w:hint="eastAsia" w:ascii="宋体" w:hAnsi="宋体"/>
          <w:sz w:val="24"/>
          <w:lang w:val="zh-CN"/>
        </w:rPr>
        <w:t xml:space="preserve">件，具体操作方法见《操作手册》。</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120614218"/>
      <w:r/>
      <w:bookmarkStart w:id="152" w:name="_Toc20823301"/>
      <w:r/>
      <w:bookmarkStart w:id="153" w:name="_Toc16938545"/>
      <w:r/>
      <w:bookmarkStart w:id="154" w:name="_Toc513029229"/>
      <w:r>
        <w:rPr>
          <w:rFonts w:hint="eastAsia" w:ascii="宋体" w:hAnsi="宋体"/>
          <w:sz w:val="24"/>
          <w:lang w:val="zh-CN"/>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1"/>
      <w:r/>
      <w:bookmarkEnd w:id="152"/>
      <w:r/>
      <w:bookmarkEnd w:id="153"/>
      <w:r/>
      <w:bookmarkEnd w:id="154"/>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155" w:name="_Toc20823302"/>
      <w:r/>
      <w:bookmarkStart w:id="156" w:name="_Toc16938546"/>
      <w:r/>
      <w:bookmarkStart w:id="157" w:name="_Toc513029230"/>
      <w:r>
        <w:rPr>
          <w:rFonts w:hint="eastAsia" w:ascii="方正楷体_GBK" w:hAnsi="方正楷体_GBK" w:eastAsia="方正楷体_GBK" w:cs="方正楷体_GBK"/>
        </w:rPr>
        <w:t xml:space="preserve">20.开标</w:t>
      </w:r>
      <w:bookmarkEnd w:id="155"/>
      <w:r/>
      <w:bookmarkEnd w:id="156"/>
      <w:r/>
      <w:bookmarkEnd w:id="157"/>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w:t>
      </w:r>
      <w:r>
        <w:rPr>
          <w:rFonts w:hint="eastAsia" w:ascii="宋体" w:hAnsi="宋体"/>
          <w:sz w:val="24"/>
          <w:lang w:val="zh-CN"/>
        </w:rPr>
        <w:t xml:space="preserve">标价格。</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864"/>
        <w:ind w:firstLine="422"/>
        <w:spacing w:before="0" w:after="0" w:line="240" w:lineRule="auto"/>
        <w:rPr>
          <w:rFonts w:hint="eastAsia" w:ascii="方正楷体_GBK" w:hAnsi="方正楷体_GBK" w:eastAsia="方正楷体_GBK" w:cs="方正楷体_GBK"/>
        </w:rPr>
      </w:pPr>
      <w:r/>
      <w:bookmarkStart w:id="158" w:name="_Toc16938547"/>
      <w:r/>
      <w:bookmarkStart w:id="159" w:name="_Toc20823303"/>
      <w:r/>
      <w:bookmarkStart w:id="160" w:name="_Toc513029231"/>
      <w:r>
        <w:rPr>
          <w:rFonts w:hint="eastAsia" w:ascii="方正楷体_GBK" w:hAnsi="方正楷体_GBK" w:eastAsia="方正楷体_GBK" w:cs="方正楷体_GBK"/>
        </w:rPr>
        <w:t xml:space="preserve">21.评标</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p>
    <w:p>
      <w:pPr>
        <w:pStyle w:val="860"/>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864"/>
        <w:ind w:firstLine="422"/>
        <w:spacing w:before="0" w:after="0" w:line="240" w:lineRule="auto"/>
        <w:rPr>
          <w:rFonts w:hint="eastAsia" w:ascii="方正楷体_GBK" w:hAnsi="方正楷体_GBK" w:eastAsia="方正楷体_GBK" w:cs="方正楷体_GBK"/>
        </w:rPr>
      </w:pPr>
      <w:r/>
      <w:bookmarkStart w:id="161" w:name="_Toc20823304"/>
      <w:r/>
      <w:bookmarkStart w:id="162" w:name="_Toc513029232"/>
      <w:r/>
      <w:bookmarkStart w:id="163" w:name="_Toc16938548"/>
      <w:r>
        <w:rPr>
          <w:rFonts w:hint="eastAsia" w:ascii="方正楷体_GBK" w:hAnsi="方正楷体_GBK" w:eastAsia="方正楷体_GBK" w:cs="方正楷体_GBK"/>
        </w:rPr>
        <w:t xml:space="preserve">23.投标文件的澄清</w:t>
      </w:r>
      <w:bookmarkEnd w:id="161"/>
      <w:r/>
      <w:bookmarkEnd w:id="162"/>
      <w:r/>
      <w:bookmarkEnd w:id="163"/>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pStyle w:val="860"/>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860"/>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w:t>
      </w:r>
      <w:r>
        <w:rPr>
          <w:rFonts w:hint="eastAsia" w:ascii="宋体" w:hAnsi="宋体"/>
          <w:sz w:val="24"/>
          <w:lang w:val="zh-CN"/>
        </w:rPr>
        <w:t xml:space="preserve">正的内容作为投标文件的补充部分，具体操作方式见《操作手册》。</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864"/>
        <w:ind w:firstLine="422"/>
        <w:spacing w:before="0" w:after="0" w:line="240" w:lineRule="auto"/>
        <w:rPr>
          <w:rFonts w:hint="eastAsia" w:ascii="方正楷体_GBK" w:hAnsi="方正楷体_GBK" w:eastAsia="方正楷体_GBK" w:cs="方正楷体_GBK"/>
        </w:rPr>
      </w:pPr>
      <w:r/>
      <w:bookmarkStart w:id="164" w:name="_Toc20823305"/>
      <w:r/>
      <w:bookmarkStart w:id="165" w:name="_Toc16938549"/>
      <w:r/>
      <w:bookmarkStart w:id="166" w:name="_Toc513029233"/>
      <w:r>
        <w:rPr>
          <w:rFonts w:hint="eastAsia" w:ascii="方正楷体_GBK" w:hAnsi="方正楷体_GBK" w:eastAsia="方正楷体_GBK" w:cs="方正楷体_GBK"/>
        </w:rPr>
        <w:t xml:space="preserve">24.投标文件的</w:t>
      </w:r>
      <w:bookmarkEnd w:id="164"/>
      <w:r/>
      <w:bookmarkEnd w:id="165"/>
      <w:r/>
      <w:bookmarkEnd w:id="166"/>
      <w:r>
        <w:rPr>
          <w:rFonts w:hint="eastAsia" w:ascii="方正楷体_GBK" w:hAnsi="方正楷体_GBK" w:eastAsia="方正楷体_GBK" w:cs="方正楷体_GBK"/>
        </w:rPr>
        <w:t xml:space="preserve">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pStyle w:val="860"/>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w:t>
      </w:r>
      <w:r>
        <w:rPr>
          <w:rFonts w:hint="eastAsia" w:ascii="宋体" w:hAnsi="宋体"/>
          <w:sz w:val="24"/>
          <w:lang w:val="zh-CN"/>
        </w:rPr>
        <w:t xml:space="preserve">有重大偏离或保留的文件。</w:t>
      </w:r>
      <w:r/>
    </w:p>
    <w:p>
      <w:pPr>
        <w:pStyle w:val="860"/>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w:t>
      </w:r>
      <w:r>
        <w:rPr>
          <w:rFonts w:hint="eastAsia" w:ascii="宋体" w:hAnsi="宋体"/>
          <w:sz w:val="24"/>
          <w:lang w:val="zh-CN"/>
        </w:rPr>
        <w:t xml:space="preserve">会将对确定为实质性响应的投标进行进一步审核，确定其是否有计算上或累加上的算术错误。修正错误的原则如下：</w:t>
      </w:r>
      <w:r/>
    </w:p>
    <w:p>
      <w:pPr>
        <w:pStyle w:val="860"/>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860"/>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860"/>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860"/>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860"/>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w:t>
      </w:r>
      <w:r>
        <w:rPr>
          <w:rFonts w:hint="eastAsia" w:ascii="宋体" w:hAnsi="宋体"/>
          <w:sz w:val="24"/>
          <w:lang w:val="zh-CN"/>
        </w:rPr>
        <w:t xml:space="preserve">系统告知投标人，调整后的价格对投标人具有约束力。如果投标人不接受修正后的价格，则其投标将被拒绝。</w:t>
      </w:r>
      <w:r/>
    </w:p>
    <w:p>
      <w:pPr>
        <w:pStyle w:val="860"/>
        <w:ind w:firstLine="420"/>
        <w:rPr>
          <w:rFonts w:hint="eastAsia" w:ascii="宋体" w:hAnsi="宋体"/>
          <w:sz w:val="24"/>
          <w:lang w:val="zh-CN"/>
        </w:rPr>
      </w:pPr>
      <w:r/>
      <w:bookmarkStart w:id="167" w:name="_Toc513029234"/>
      <w:r/>
      <w:bookmarkStart w:id="168" w:name="_Toc16938550"/>
      <w:r/>
      <w:bookmarkStart w:id="169"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rPr>
        <w:t xml:space="preserve">5.无效投标和废标</w:t>
      </w:r>
      <w:r/>
    </w:p>
    <w:p>
      <w:pPr>
        <w:pStyle w:val="860"/>
        <w:ind w:firstLine="420"/>
        <w:rPr>
          <w:rFonts w:hint="eastAsia" w:ascii="宋体" w:hAnsi="宋体"/>
          <w:sz w:val="24"/>
          <w:lang w:val="zh-CN"/>
        </w:rPr>
      </w:pPr>
      <w:r/>
      <w:bookmarkStart w:id="170" w:name="_Toc16938551"/>
      <w:r/>
      <w:bookmarkStart w:id="171" w:name="_Toc20823307"/>
      <w:r/>
      <w:bookmarkStart w:id="172" w:name="_Toc513029235"/>
      <w:r/>
      <w:bookmarkStart w:id="173"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w:t>
      </w:r>
      <w:r>
        <w:rPr>
          <w:rFonts w:hint="eastAsia" w:ascii="宋体" w:hAnsi="宋体"/>
          <w:sz w:val="24"/>
          <w:lang w:val="zh-CN"/>
        </w:rPr>
        <w:t xml:space="preserve">购人不能接受的附加条件。</w:t>
      </w:r>
      <w:r/>
    </w:p>
    <w:p>
      <w:pPr>
        <w:pStyle w:val="860"/>
        <w:ind w:firstLine="420"/>
        <w:rPr>
          <w:rFonts w:hint="eastAsia" w:ascii="宋体" w:hAnsi="宋体"/>
          <w:sz w:val="24"/>
          <w:lang w:val="zh-CN"/>
        </w:rPr>
      </w:pPr>
      <w:r>
        <w:rPr>
          <w:rFonts w:hint="eastAsia" w:ascii="宋体" w:hAnsi="宋体"/>
          <w:sz w:val="24"/>
          <w:lang w:val="zh-CN"/>
        </w:rPr>
        <w:t xml:space="preserve">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pStyle w:val="860"/>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pStyle w:val="860"/>
        <w:ind w:firstLine="420"/>
        <w:rPr>
          <w:rFonts w:hint="eastAsia" w:ascii="宋体" w:hAnsi="宋体"/>
          <w:sz w:val="24"/>
          <w:lang w:val="zh-CN"/>
        </w:rPr>
      </w:pPr>
      <w:r>
        <w:rPr>
          <w:rFonts w:hint="eastAsia" w:ascii="宋体" w:hAnsi="宋体"/>
          <w:sz w:val="24"/>
          <w:lang w:val="zh-CN"/>
        </w:rPr>
        <w:t xml:space="preserve">25.1.12 投标文件未按照招标文件要求加盖电子公章。</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pStyle w:val="860"/>
        <w:ind w:firstLine="420"/>
        <w:rPr>
          <w:rFonts w:hint="eastAsia" w:ascii="宋体" w:hAnsi="宋体"/>
          <w:sz w:val="24"/>
          <w:lang w:val="zh-CN"/>
        </w:rPr>
      </w:pPr>
      <w:r>
        <w:rPr>
          <w:rFonts w:hint="eastAsia" w:ascii="宋体" w:hAnsi="宋体"/>
          <w:sz w:val="24"/>
          <w:lang w:val="zh-CN"/>
        </w:rPr>
        <w:t xml:space="preserve">25.2.5 因苏采云系统故障造成开标不成功。</w:t>
      </w:r>
      <w:r/>
    </w:p>
    <w:p>
      <w:pPr>
        <w:pStyle w:val="860"/>
        <w:ind w:firstLine="420"/>
        <w:rPr>
          <w:rFonts w:hint="eastAsia" w:ascii="宋体" w:hAnsi="宋体"/>
          <w:sz w:val="24"/>
          <w:lang w:val="zh-CN"/>
        </w:rPr>
      </w:pPr>
      <w:r>
        <w:rPr>
          <w:rFonts w:hint="eastAsia" w:ascii="宋体" w:hAnsi="宋体"/>
          <w:sz w:val="24"/>
          <w:lang w:val="zh-CN"/>
        </w:rPr>
        <w:t xml:space="preserve">25.3 如出现投标截止时间</w:t>
      </w:r>
      <w:r>
        <w:rPr>
          <w:rFonts w:hint="eastAsia" w:ascii="宋体" w:hAnsi="宋体"/>
          <w:sz w:val="24"/>
          <w:lang w:val="zh-CN"/>
        </w:rPr>
        <w:t xml:space="preserve">后参加投标的供应商或者对招标文件作出实质性响应的供应商不足三家的情况，按政府采购相关规定执行。</w:t>
      </w:r>
      <w:r/>
    </w:p>
    <w:p>
      <w:pPr>
        <w:pStyle w:val="860"/>
        <w:ind w:firstLine="420"/>
        <w:rPr>
          <w:rFonts w:ascii="宋体" w:hAnsi="宋体"/>
          <w:sz w:val="24"/>
        </w:rPr>
      </w:pPr>
      <w:r>
        <w:rPr>
          <w:rFonts w:hint="eastAsia" w:ascii="宋体" w:hAnsi="宋体"/>
          <w:sz w:val="24"/>
          <w:lang w:val="zh-CN"/>
        </w:rPr>
        <w:t xml:space="preserve">25.4 如出现25.2.1或25.3情形，招标活动失败，评审委员会</w:t>
      </w:r>
      <w:r>
        <w:rPr>
          <w:rFonts w:hint="eastAsia" w:ascii="宋体" w:hAnsi="宋体"/>
          <w:sz w:val="24"/>
        </w:rPr>
        <w:t xml:space="preserve">应</w:t>
      </w:r>
      <w:r>
        <w:rPr>
          <w:rFonts w:hint="eastAsia" w:ascii="宋体" w:hAnsi="宋体"/>
          <w:sz w:val="24"/>
          <w:lang w:bidi="ar"/>
        </w:rPr>
        <w:t xml:space="preserve">对</w:t>
      </w:r>
      <w:r>
        <w:rPr>
          <w:rFonts w:hint="eastAsia" w:ascii="宋体" w:hAnsi="宋体"/>
          <w:sz w:val="24"/>
          <w:lang w:val="zh-CN" w:bidi="ar"/>
        </w:rPr>
        <w:t xml:space="preserve">招标文件是否存在不合理条款</w:t>
      </w:r>
      <w:r>
        <w:rPr>
          <w:rFonts w:hint="eastAsia" w:ascii="宋体" w:hAnsi="宋体"/>
          <w:sz w:val="24"/>
          <w:lang w:bidi="ar"/>
        </w:rPr>
        <w:t xml:space="preserve">进行论证，并在评审报告中写明</w:t>
      </w:r>
      <w:r>
        <w:rPr>
          <w:rFonts w:hint="eastAsia" w:ascii="宋体" w:hAnsi="宋体"/>
          <w:sz w:val="24"/>
          <w:lang w:val="zh-CN" w:bidi="ar"/>
        </w:rPr>
        <w:t xml:space="preserve">论证意见。</w:t>
      </w:r>
      <w:r>
        <w:rPr>
          <w:rFonts w:ascii="宋体" w:hAnsi="宋体"/>
          <w:sz w:val="24"/>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70"/>
      <w:r/>
      <w:bookmarkEnd w:id="171"/>
      <w:r/>
      <w:bookmarkEnd w:id="172"/>
      <w:r>
        <w:rPr>
          <w:rFonts w:hint="eastAsia" w:ascii="方正黑体_GBK" w:hAnsi="方正黑体_GBK" w:eastAsia="方正黑体_GBK" w:cs="方正黑体_GBK"/>
          <w:b w:val="0"/>
          <w:bCs w:val="0"/>
          <w:sz w:val="30"/>
          <w:szCs w:val="30"/>
        </w:rPr>
        <w:t xml:space="preserve">定标</w:t>
      </w:r>
      <w:bookmarkEnd w:id="173"/>
      <w:r>
        <w:rPr>
          <w:rFonts w:hint="eastAsia" w:ascii="方正黑体_GBK" w:hAnsi="方正黑体_GBK" w:eastAsia="方正黑体_GBK" w:cs="方正黑体_GBK"/>
          <w:b w:val="0"/>
          <w:bCs w:val="0"/>
          <w:sz w:val="30"/>
          <w:szCs w:val="30"/>
        </w:rPr>
        <w:t xml:space="preserve">  </w:t>
      </w:r>
      <w:r/>
    </w:p>
    <w:p>
      <w:pPr>
        <w:pStyle w:val="864"/>
        <w:ind w:firstLine="422"/>
        <w:spacing w:before="0" w:after="0" w:line="240" w:lineRule="auto"/>
        <w:rPr>
          <w:rFonts w:hint="eastAsia" w:ascii="方正楷体_GBK" w:hAnsi="方正楷体_GBK" w:eastAsia="方正楷体_GBK" w:cs="方正楷体_GBK"/>
        </w:rPr>
      </w:pPr>
      <w:r/>
      <w:bookmarkStart w:id="174" w:name="_Toc16938554"/>
      <w:r/>
      <w:bookmarkStart w:id="175" w:name="_Toc20823310"/>
      <w:r/>
      <w:bookmarkStart w:id="176" w:name="_Toc513029238"/>
      <w:r>
        <w:rPr>
          <w:rFonts w:hint="eastAsia" w:ascii="方正楷体_GBK" w:hAnsi="方正楷体_GBK" w:eastAsia="方正楷体_GBK" w:cs="方正楷体_GBK"/>
        </w:rPr>
        <w:t xml:space="preserve">2</w:t>
      </w:r>
      <w:bookmarkEnd w:id="176"/>
      <w:r>
        <w:rPr>
          <w:rFonts w:hint="eastAsia" w:ascii="方正楷体_GBK" w:hAnsi="方正楷体_GBK" w:eastAsia="方正楷体_GBK" w:cs="方正楷体_GBK"/>
        </w:rPr>
        <w:t xml:space="preserve">6.确定</w:t>
      </w:r>
      <w:bookmarkEnd w:id="174"/>
      <w:r/>
      <w:bookmarkEnd w:id="175"/>
      <w:r>
        <w:rPr>
          <w:rFonts w:hint="eastAsia" w:ascii="方正楷体_GBK" w:hAnsi="方正楷体_GBK" w:eastAsia="方正楷体_GBK" w:cs="方正楷体_GBK"/>
        </w:rPr>
        <w:t xml:space="preserve">中标单位</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860"/>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860"/>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860"/>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w:t>
      </w:r>
      <w:r>
        <w:rPr>
          <w:rFonts w:hint="eastAsia" w:ascii="宋体" w:hAnsi="宋体"/>
          <w:sz w:val="24"/>
          <w:lang w:val="zh-CN"/>
        </w:rPr>
        <w:t xml:space="preserve">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pStyle w:val="860"/>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w:t>
      </w:r>
      <w:r>
        <w:rPr>
          <w:rFonts w:hint="eastAsia" w:ascii="宋体" w:hAnsi="宋体"/>
          <w:sz w:val="24"/>
          <w:lang w:val="zh-CN"/>
        </w:rPr>
        <w:t xml:space="preserve">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pStyle w:val="860"/>
        <w:ind w:firstLine="420"/>
        <w:rPr>
          <w:rFonts w:hint="eastAsia" w:ascii="宋体" w:hAnsi="宋体"/>
          <w:b/>
          <w:bCs/>
          <w:sz w:val="24"/>
          <w:lang w:val="zh-CN"/>
        </w:rPr>
      </w:pPr>
      <w:r/>
      <w:bookmarkStart w:id="177"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864"/>
        <w:ind w:firstLine="422"/>
        <w:spacing w:before="0" w:after="0" w:line="240" w:lineRule="auto"/>
        <w:rPr>
          <w:rFonts w:hint="eastAsia" w:ascii="方正楷体_GBK" w:hAnsi="方正楷体_GBK" w:eastAsia="方正楷体_GBK" w:cs="方正楷体_GBK"/>
        </w:rPr>
      </w:pPr>
      <w:r/>
      <w:bookmarkEnd w:id="177"/>
      <w:r>
        <w:rPr>
          <w:rFonts w:hint="eastAsia" w:ascii="方正楷体_GBK" w:hAnsi="方正楷体_GBK" w:eastAsia="方正楷体_GBK" w:cs="方正楷体_GBK"/>
        </w:rPr>
        <w:t xml:space="preserve">27.中标通知书</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860"/>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178" w:name="_Toc120614220"/>
      <w:r/>
      <w:bookmarkStart w:id="179" w:name="_Toc513029236"/>
      <w:r/>
      <w:bookmarkStart w:id="180" w:name="_Toc16938552"/>
      <w:r/>
      <w:bookmarkStart w:id="181" w:name="_Toc20823308"/>
      <w:r>
        <w:rPr>
          <w:rFonts w:hint="eastAsia" w:ascii="方正黑体_GBK" w:hAnsi="方正黑体_GBK" w:eastAsia="方正黑体_GBK" w:cs="方正黑体_GBK"/>
          <w:b w:val="0"/>
          <w:bCs w:val="0"/>
          <w:sz w:val="30"/>
          <w:szCs w:val="30"/>
        </w:rPr>
        <w:t xml:space="preserve">七、授予合同</w:t>
      </w:r>
      <w:bookmarkEnd w:id="178"/>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End w:id="179"/>
      <w:r/>
      <w:bookmarkEnd w:id="180"/>
      <w:r/>
      <w:bookmarkEnd w:id="181"/>
      <w:r/>
      <w:bookmarkStart w:id="182" w:name="_Toc513029237"/>
      <w:r/>
      <w:bookmarkStart w:id="183" w:name="_Toc16938553"/>
      <w:r/>
      <w:bookmarkStart w:id="184" w:name="_Toc20823309"/>
      <w:r>
        <w:rPr>
          <w:rFonts w:hint="eastAsia" w:ascii="方正楷体_GBK" w:hAnsi="方正楷体_GBK" w:eastAsia="方正楷体_GBK" w:cs="方正楷体_GBK"/>
        </w:rPr>
        <w:t xml:space="preserve">28.签订合同</w:t>
      </w:r>
      <w:r/>
    </w:p>
    <w:p>
      <w:pPr>
        <w:pStyle w:val="860"/>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w:t>
      </w:r>
      <w:r>
        <w:rPr>
          <w:rFonts w:hint="eastAsia" w:ascii="宋体" w:hAnsi="宋体"/>
          <w:sz w:val="24"/>
          <w:lang w:val="zh-CN"/>
        </w:rPr>
        <w:t xml:space="preserve">购人于合同签订后2个工作日内通过苏采云系统进行公示。</w:t>
      </w:r>
      <w:r>
        <w:rPr>
          <w:rFonts w:ascii="宋体" w:hAnsi="宋体"/>
          <w:sz w:val="24"/>
        </w:rPr>
      </w:r>
      <w:r/>
    </w:p>
    <w:p>
      <w:pPr>
        <w:pStyle w:val="860"/>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pStyle w:val="860"/>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860"/>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pStyle w:val="860"/>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w:t>
      </w:r>
      <w:r>
        <w:rPr>
          <w:rFonts w:hint="eastAsia" w:ascii="宋体" w:hAnsi="宋体"/>
          <w:sz w:val="24"/>
          <w:lang w:val="zh-CN"/>
        </w:rPr>
        <w:t xml:space="preserve">（包含与货物相关的服务），在不改变合同其他条款的前提下，可以与中标人协商签订补充合同，但所有补充合同的金额不超过原合同金额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p>
    <w:p>
      <w:pPr>
        <w:pStyle w:val="864"/>
        <w:ind w:firstLine="422"/>
        <w:spacing w:before="0" w:after="0" w:line="240" w:lineRule="auto"/>
        <w:rPr>
          <w:rFonts w:hint="eastAsia" w:ascii="方正楷体_GBK" w:hAnsi="方正楷体_GBK" w:eastAsia="方正楷体_GBK" w:cs="方正楷体_GBK"/>
        </w:rPr>
      </w:pPr>
      <w:r/>
      <w:bookmarkEnd w:id="182"/>
      <w:r/>
      <w:bookmarkEnd w:id="183"/>
      <w:r/>
      <w:bookmarkEnd w:id="184"/>
      <w:r>
        <w:rPr>
          <w:rFonts w:hint="eastAsia" w:ascii="方正楷体_GBK" w:hAnsi="方正楷体_GBK" w:eastAsia="方正楷体_GBK" w:cs="方正楷体_GBK"/>
        </w:rPr>
        <w:t xml:space="preserve">30.政府采购履约资金扶持政策</w:t>
      </w:r>
      <w:r/>
    </w:p>
    <w:p>
      <w:pPr>
        <w:pStyle w:val="860"/>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pStyle w:val="860"/>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w:t>
      </w:r>
      <w:r>
        <w:rPr>
          <w:rFonts w:hint="eastAsia" w:ascii="宋体" w:hAnsi="宋体"/>
          <w:sz w:val="24"/>
        </w:rPr>
        <w:t xml:space="preserve">险）</w:t>
      </w:r>
      <w:r>
        <w:rPr>
          <w:rFonts w:hint="eastAsia" w:ascii="宋体" w:hAnsi="宋体"/>
          <w:sz w:val="24"/>
          <w:lang w:val="zh-CN"/>
        </w:rPr>
        <w:t xml:space="preserve">。</w:t>
      </w:r>
      <w:r>
        <w:rPr>
          <w:rFonts w:hint="eastAsia"/>
          <w:lang w:val="zh-CN"/>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pStyle w:val="860"/>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pStyle w:val="860"/>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pStyle w:val="860"/>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pStyle w:val="8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pStyle w:val="860"/>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860"/>
        <w:ind w:firstLine="420"/>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供应商（含潜在供应商）对采购方式、采购需求、供应商资格条件、评标方法和评标标准、合同文本的</w:t>
      </w:r>
      <w:r>
        <w:rPr>
          <w:rFonts w:hint="eastAsia" w:ascii="宋体" w:hAnsi="宋体"/>
          <w:b/>
          <w:bCs/>
          <w:sz w:val="24"/>
        </w:rPr>
        <w:t xml:space="preserve">询问或</w:t>
      </w:r>
      <w:r>
        <w:rPr>
          <w:rFonts w:hint="eastAsia" w:ascii="宋体" w:hAnsi="宋体"/>
          <w:b/>
          <w:bCs/>
          <w:sz w:val="24"/>
          <w:lang w:val="zh-CN"/>
        </w:rPr>
        <w:t xml:space="preserve">质疑向采购人提出，由采购人负责答复。</w:t>
      </w:r>
      <w:r>
        <w:rPr>
          <w:rFonts w:hint="eastAsia" w:ascii="宋体" w:hAnsi="宋体"/>
          <w:sz w:val="24"/>
          <w:lang w:val="zh-CN"/>
        </w:rPr>
        <w:t xml:space="preserve">供应商对</w:t>
      </w:r>
      <w:r>
        <w:rPr>
          <w:rFonts w:hint="eastAsia" w:ascii="宋体" w:hAnsi="宋体"/>
          <w:sz w:val="24"/>
        </w:rPr>
        <w:t xml:space="preserve">采购过程、采购结果</w:t>
      </w:r>
      <w:r>
        <w:rPr>
          <w:rFonts w:hint="eastAsia" w:ascii="宋体" w:hAnsi="宋体"/>
          <w:sz w:val="24"/>
          <w:lang w:val="zh-CN"/>
        </w:rPr>
        <w:t xml:space="preserve">的询问</w:t>
      </w:r>
      <w:r>
        <w:rPr>
          <w:rFonts w:hint="eastAsia" w:ascii="宋体" w:hAnsi="宋体"/>
          <w:sz w:val="24"/>
        </w:rPr>
        <w:t xml:space="preserve">或</w:t>
      </w:r>
      <w:r>
        <w:rPr>
          <w:rFonts w:hint="eastAsia" w:ascii="宋体" w:hAnsi="宋体"/>
          <w:sz w:val="24"/>
          <w:lang w:val="zh-CN"/>
        </w:rPr>
        <w:t xml:space="preserve">质疑向交易中心提出，由交易中心负责答复。</w:t>
      </w:r>
      <w:r/>
    </w:p>
    <w:p>
      <w:pPr>
        <w:pStyle w:val="860"/>
        <w:ind w:firstLine="422"/>
        <w:rPr>
          <w:rFonts w:hint="eastAsia" w:ascii="宋体" w:hAnsi="宋体"/>
          <w:b/>
          <w:bCs/>
          <w:sz w:val="24"/>
          <w:lang w:val="zh-CN"/>
        </w:rPr>
      </w:pPr>
      <w:r>
        <w:rPr>
          <w:rFonts w:hint="eastAsia" w:ascii="宋体" w:hAnsi="宋体"/>
          <w:b/>
          <w:bCs/>
          <w:sz w:val="24"/>
          <w:lang w:val="zh-CN"/>
        </w:rPr>
        <w:t xml:space="preserve">采购人《质疑函》接收人及联系方式：南京市玄武区双龙巷5号4楼4</w:t>
      </w:r>
      <w:r>
        <w:rPr>
          <w:rFonts w:ascii="宋体" w:hAnsi="宋体"/>
          <w:b/>
          <w:bCs/>
          <w:sz w:val="24"/>
          <w:lang w:val="zh-CN"/>
        </w:rPr>
        <w:t xml:space="preserve">05（南京鼓楼医院医用物资采购中心）</w:t>
      </w:r>
      <w:r>
        <w:rPr>
          <w:rFonts w:hint="eastAsia" w:ascii="宋体" w:hAnsi="宋体"/>
          <w:b/>
          <w:bCs/>
          <w:sz w:val="24"/>
          <w:lang w:val="zh-CN"/>
        </w:rPr>
        <w:t xml:space="preserve">朱</w:t>
      </w:r>
      <w:r>
        <w:rPr>
          <w:rFonts w:ascii="宋体" w:hAnsi="宋体"/>
          <w:b/>
          <w:bCs/>
          <w:sz w:val="24"/>
          <w:lang w:val="zh-CN"/>
        </w:rPr>
        <w:t xml:space="preserve">老师</w:t>
      </w:r>
      <w:r>
        <w:rPr>
          <w:rFonts w:hint="eastAsia" w:ascii="宋体" w:hAnsi="宋体"/>
          <w:b/>
          <w:bCs/>
          <w:sz w:val="24"/>
          <w:lang w:val="zh-CN"/>
        </w:rPr>
        <w:t xml:space="preserve"> </w:t>
      </w:r>
      <w:r>
        <w:rPr>
          <w:rFonts w:ascii="宋体" w:hAnsi="宋体"/>
          <w:b/>
          <w:bCs/>
          <w:sz w:val="24"/>
          <w:lang w:val="zh-CN"/>
        </w:rPr>
        <w:t xml:space="preserve">025-83105798</w:t>
      </w:r>
      <w:r>
        <w:rPr>
          <w:rFonts w:hint="eastAsia" w:ascii="宋体" w:hAnsi="宋体"/>
          <w:b/>
          <w:bCs/>
          <w:sz w:val="24"/>
          <w:lang w:val="zh-CN"/>
        </w:rPr>
        <w:t xml:space="preserve">。</w:t>
      </w:r>
      <w:r/>
    </w:p>
    <w:p>
      <w:pPr>
        <w:pStyle w:val="860"/>
        <w:ind w:firstLine="420"/>
        <w:rPr>
          <w:rFonts w:hint="eastAsia" w:ascii="宋体" w:hAnsi="宋体"/>
          <w:sz w:val="24"/>
        </w:rPr>
      </w:pPr>
      <w:r>
        <w:rPr>
          <w:rFonts w:hint="eastAsia" w:ascii="宋体" w:hAnsi="宋体"/>
          <w:sz w:val="24"/>
          <w:lang w:val="zh-CN"/>
        </w:rPr>
        <w:t xml:space="preserve">交易中心《质疑函》接收部门为政府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，地址：南京市江东中路265号南京市公共资源交易中心北门，联系电话：025-68505926。</w:t>
      </w:r>
      <w:r>
        <w:rPr>
          <w:rFonts w:hint="eastAsia" w:ascii="宋体" w:hAnsi="宋体"/>
          <w:sz w:val="24"/>
        </w:rPr>
        <w:t xml:space="preserve"> </w:t>
      </w:r>
      <w:r/>
    </w:p>
    <w:p>
      <w:pPr>
        <w:pStyle w:val="860"/>
        <w:ind w:firstLine="422"/>
        <w:rPr>
          <w:rFonts w:hint="eastAsia" w:ascii="宋体" w:hAnsi="宋体"/>
          <w:b/>
          <w:bCs/>
          <w:sz w:val="24"/>
          <w:lang w:val="zh-CN"/>
        </w:rPr>
      </w:pPr>
      <w:r>
        <w:rPr>
          <w:rFonts w:hint="eastAsia" w:ascii="宋体" w:hAnsi="宋体"/>
          <w:b/>
          <w:bCs/>
          <w:sz w:val="24"/>
        </w:rPr>
        <w:t xml:space="preserve">由采购人负责答复的质疑，采购人将《质疑答复函》抄送交易中心。</w:t>
      </w:r>
      <w:r>
        <w:rPr>
          <w:rFonts w:hint="eastAsia" w:ascii="宋体" w:hAnsi="宋体"/>
          <w:b/>
          <w:bCs/>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860"/>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w:t>
      </w:r>
      <w:r>
        <w:rPr>
          <w:rFonts w:hint="eastAsia" w:ascii="宋体" w:hAnsi="宋体"/>
          <w:sz w:val="24"/>
          <w:lang w:val="zh-CN"/>
        </w:rPr>
        <w:t xml:space="preserve">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6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pStyle w:val="860"/>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pStyle w:val="860"/>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w:t>
      </w:r>
      <w:r>
        <w:rPr>
          <w:rFonts w:hint="eastAsia" w:ascii="宋体" w:hAnsi="宋体"/>
          <w:sz w:val="24"/>
          <w:lang w:val="zh-CN"/>
        </w:rPr>
        <w:t xml:space="preserve">理关系的除外。符合中小企业划分标准的个体工商户，在政府采购活动中视同中小企业。</w:t>
      </w:r>
      <w:r/>
    </w:p>
    <w:p>
      <w:pPr>
        <w:pStyle w:val="860"/>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pStyle w:val="860"/>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w:t>
      </w:r>
      <w:r>
        <w:rPr>
          <w:rFonts w:hint="eastAsia" w:ascii="宋体" w:hAnsi="宋体" w:cs="宋体"/>
          <w:sz w:val="24"/>
          <w:szCs w:val="24"/>
        </w:rPr>
        <w:t xml:space="preserve">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w:t>
      </w:r>
      <w:r>
        <w:rPr>
          <w:rFonts w:hint="eastAsia" w:ascii="宋体" w:hAnsi="宋体"/>
          <w:sz w:val="24"/>
        </w:rPr>
        <w:t xml:space="preserve">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w:t>
      </w:r>
      <w:r>
        <w:rPr>
          <w:rFonts w:hint="eastAsia" w:ascii="宋体" w:hAnsi="宋体"/>
          <w:sz w:val="24"/>
          <w:lang w:val="zh-CN"/>
        </w:rPr>
        <w:t xml:space="preserve">内的节能产品认证证书。 </w:t>
      </w:r>
      <w:r/>
    </w:p>
    <w:p>
      <w:pPr>
        <w:pStyle w:val="860"/>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w:t>
      </w:r>
      <w:r>
        <w:rPr>
          <w:rFonts w:hint="eastAsia" w:ascii="宋体"/>
          <w:bCs/>
          <w:sz w:val="24"/>
          <w:szCs w:val="24"/>
        </w:rPr>
        <w:t xml:space="preserve">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w:t>
      </w:r>
      <w:r>
        <w:rPr>
          <w:rFonts w:hint="eastAsia" w:ascii="宋体" w:hAnsi="宋体"/>
          <w:sz w:val="24"/>
        </w:rPr>
        <w:t xml:space="preserve">为准。采购人应在政府采购合同中明确对相关指标的验收方式和违约责任，供应商应按合同约定提供设备或服务。</w:t>
      </w:r>
      <w:r/>
    </w:p>
    <w:p>
      <w:pPr>
        <w:pStyle w:val="860"/>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860"/>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w:t>
      </w:r>
      <w:r>
        <w:rPr>
          <w:rFonts w:hint="eastAsia" w:ascii="宋体" w:hAnsi="宋体"/>
          <w:sz w:val="24"/>
        </w:rPr>
        <w:t xml:space="preserve">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60"/>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w:t>
      </w:r>
      <w:r>
        <w:rPr>
          <w:rFonts w:hint="eastAsia" w:ascii="宋体" w:hAnsi="宋体"/>
          <w:sz w:val="24"/>
        </w:rPr>
        <w:t xml:space="preserve">销售业绩。</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pStyle w:val="860"/>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41"/>
        <w:rPr>
          <w:rFonts w:hint="eastAsia" w:ascii="宋体" w:hAnsi="宋体" w:eastAsia="宋体" w:cs="Times New Roman"/>
          <w:sz w:val="24"/>
        </w:rPr>
      </w:pPr>
      <w:r>
        <w:rPr>
          <w:rFonts w:hint="eastAsia" w:ascii="宋体" w:hAnsi="宋体" w:eastAsia="宋体" w:cs="Times New Roman"/>
          <w:sz w:val="24"/>
        </w:rPr>
      </w:r>
      <w:r/>
    </w:p>
    <w:p>
      <w:pPr>
        <w:pStyle w:val="860"/>
        <w:rPr>
          <w:rFonts w:hint="eastAsia" w:ascii="宋体" w:hAnsi="宋体"/>
          <w:sz w:val="24"/>
          <w:lang w:val="zh-CN"/>
        </w:rPr>
      </w:pPr>
      <w:r>
        <w:rPr>
          <w:rFonts w:hint="eastAsia" w:ascii="宋体" w:hAnsi="宋体"/>
          <w:sz w:val="24"/>
          <w:lang w:val="zh-CN"/>
        </w:rPr>
      </w:r>
      <w:r/>
    </w:p>
    <w:p>
      <w:pPr>
        <w:pStyle w:val="941"/>
        <w:rPr>
          <w:rFonts w:hint="eastAsia" w:ascii="宋体" w:hAnsi="宋体" w:eastAsia="宋体" w:cs="Times New Roman"/>
          <w:sz w:val="24"/>
        </w:rPr>
      </w:pPr>
      <w:r>
        <w:rPr>
          <w:rFonts w:hint="eastAsia" w:ascii="宋体" w:hAnsi="宋体" w:eastAsia="宋体" w:cs="Times New Roman"/>
          <w:sz w:val="24"/>
        </w:rPr>
      </w:r>
      <w:r/>
    </w:p>
    <w:p>
      <w:pPr>
        <w:pStyle w:val="860"/>
        <w:rPr>
          <w:rFonts w:hint="eastAsia" w:ascii="宋体" w:hAnsi="宋体"/>
          <w:sz w:val="24"/>
          <w:lang w:val="zh-CN"/>
        </w:rPr>
      </w:pPr>
      <w:r>
        <w:rPr>
          <w:rFonts w:hint="eastAsia" w:ascii="宋体" w:hAnsi="宋体"/>
          <w:sz w:val="24"/>
          <w:lang w:val="zh-CN"/>
        </w:rPr>
      </w:r>
      <w:r/>
    </w:p>
    <w:p>
      <w:pPr>
        <w:pStyle w:val="941"/>
        <w:rPr>
          <w:rFonts w:hint="eastAsia" w:ascii="宋体" w:hAnsi="宋体" w:eastAsia="宋体" w:cs="Times New Roman"/>
          <w:sz w:val="24"/>
        </w:rPr>
      </w:pPr>
      <w:r>
        <w:rPr>
          <w:rFonts w:hint="eastAsia" w:ascii="宋体" w:hAnsi="宋体" w:eastAsia="宋体" w:cs="Times New Roman"/>
          <w:sz w:val="24"/>
        </w:rPr>
      </w:r>
      <w:r/>
    </w:p>
    <w:p>
      <w:pPr>
        <w:pStyle w:val="860"/>
        <w:rPr>
          <w:rFonts w:hint="eastAsia" w:ascii="宋体" w:hAnsi="宋体"/>
          <w:sz w:val="24"/>
          <w:lang w:val="zh-CN"/>
        </w:rPr>
      </w:pPr>
      <w:r>
        <w:rPr>
          <w:rFonts w:hint="eastAsia" w:ascii="宋体" w:hAnsi="宋体"/>
          <w:sz w:val="24"/>
          <w:lang w:val="zh-CN"/>
        </w:rPr>
      </w:r>
      <w:r/>
    </w:p>
    <w:p>
      <w:pPr>
        <w:pStyle w:val="941"/>
        <w:ind w:left="0"/>
        <w:jc w:val="center"/>
        <w:rPr>
          <w:rFonts w:hint="eastAsia" w:ascii="黑体" w:hAnsi="Times New Roman" w:eastAsia="黑体" w:cs="Times New Roman"/>
          <w:sz w:val="44"/>
          <w:szCs w:val="44"/>
        </w:rPr>
        <w:outlineLvl w:val="0"/>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53"/>
      <w:r/>
      <w:bookmarkEnd w:id="54"/>
      <w:r/>
      <w:bookmarkEnd w:id="55"/>
      <w:r/>
      <w:bookmarkEnd w:id="56"/>
      <w:r/>
      <w:bookmarkEnd w:id="57"/>
      <w:r>
        <w:rPr>
          <w:rFonts w:hint="eastAsia" w:ascii="方正小标宋简体" w:hAnsi="方正小标宋简体" w:eastAsia="方正小标宋简体" w:cs="方正小标宋简体"/>
          <w:sz w:val="36"/>
          <w:szCs w:val="36"/>
          <w:lang w:val="en-US"/>
        </w:rPr>
        <w:t xml:space="preserve">文本</w:t>
      </w:r>
      <w:r>
        <w:rPr>
          <w:rFonts w:hint="eastAsia" w:ascii="黑体" w:hAnsi="Times New Roman" w:eastAsia="黑体" w:cs="Times New Roman"/>
          <w:sz w:val="44"/>
          <w:szCs w:val="44"/>
        </w:rPr>
      </w:r>
      <w:r/>
    </w:p>
    <w:p>
      <w:pPr>
        <w:pStyle w:val="860"/>
        <w:ind w:firstLine="480"/>
        <w:spacing w:line="264" w:lineRule="auto"/>
        <w:rPr>
          <w:rFonts w:hint="eastAsia" w:ascii="宋体" w:hAnsi="宋体"/>
          <w:bCs/>
          <w:sz w:val="24"/>
          <w:szCs w:val="21"/>
        </w:rPr>
      </w:pPr>
      <w:r/>
      <w:bookmarkStart w:id="185" w:name="_Toc513029243"/>
      <w:r/>
      <w:bookmarkStart w:id="186" w:name="_Toc20823315"/>
      <w:r/>
      <w:bookmarkStart w:id="187" w:name="_Toc16938559"/>
      <w:r/>
      <w:bookmarkStart w:id="188" w:name="_Toc462564139"/>
      <w:r/>
      <w:bookmarkStart w:id="189" w:name="_Hlt16619350"/>
      <w:r/>
      <w:bookmarkStart w:id="190" w:name="_Toc20823346"/>
      <w:r/>
      <w:bookmarkStart w:id="191" w:name="_Toc16938590"/>
      <w:r/>
      <w:bookmarkStart w:id="192" w:name="_Toc120614244"/>
      <w:r/>
      <w:bookmarkStart w:id="193" w:name="_Toc479757211"/>
      <w:r>
        <w:rPr>
          <w:rFonts w:hint="eastAsia" w:ascii="宋体" w:hAnsi="宋体"/>
          <w:bCs/>
          <w:sz w:val="24"/>
          <w:szCs w:val="21"/>
        </w:rPr>
        <w:t xml:space="preserve">以下为本项目的合同条款，合同双方不得对招标、投标文件内容作实质性修改。</w:t>
      </w:r>
      <w:r/>
    </w:p>
    <w:p>
      <w:pPr>
        <w:pStyle w:val="860"/>
        <w:jc w:val="center"/>
        <w:spacing w:before="145" w:after="145" w:line="264" w:lineRule="auto"/>
        <w:rPr>
          <w:rFonts w:hint="eastAsia" w:ascii="宋体" w:hAnsi="宋体"/>
          <w:b/>
          <w:sz w:val="30"/>
          <w:szCs w:val="21"/>
        </w:rPr>
      </w:pPr>
      <w:r>
        <w:rPr>
          <w:rFonts w:hint="eastAsia" w:ascii="宋体" w:hAnsi="宋体"/>
          <w:b/>
          <w:sz w:val="30"/>
          <w:szCs w:val="21"/>
        </w:rPr>
      </w:r>
      <w:r/>
    </w:p>
    <w:p>
      <w:pPr>
        <w:pStyle w:val="860"/>
        <w:jc w:val="center"/>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政府采购合同（货物）</w:t>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合同编号：</w:t>
      </w:r>
      <w:r/>
    </w:p>
    <w:p>
      <w:pPr>
        <w:pStyle w:val="860"/>
        <w:spacing w:before="145" w:after="145" w:line="264" w:lineRule="auto"/>
        <w:rPr>
          <w:rFonts w:ascii="宋体" w:hAnsi="宋体" w:cs="Courier New"/>
          <w:sz w:val="24"/>
          <w:szCs w:val="24"/>
        </w:rPr>
      </w:pPr>
      <w:r>
        <w:rPr>
          <w:rFonts w:ascii="宋体" w:hAnsi="宋体" w:cs="Courier New"/>
          <w:sz w:val="24"/>
          <w:szCs w:val="24"/>
        </w:rPr>
        <w:t xml:space="preserve">项目名称：                             </w:t>
      </w:r>
      <w:r>
        <w:rPr>
          <w:rFonts w:ascii="宋体" w:hAnsi="宋体" w:cs="Courier New"/>
          <w:sz w:val="24"/>
          <w:szCs w:val="24"/>
        </w:rPr>
        <w:t xml:space="preserve">          项目编号：</w:t>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甲方（买方）：</w:t>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乙方（卖方）：</w:t>
      </w:r>
      <w:r/>
    </w:p>
    <w:p>
      <w:pPr>
        <w:pStyle w:val="860"/>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w:t>
      </w:r>
      <w:r>
        <w:rPr>
          <w:rFonts w:hint="eastAsia" w:ascii="宋体" w:hAnsi="宋体" w:cs="Courier New"/>
          <w:sz w:val="24"/>
          <w:szCs w:val="24"/>
        </w:rPr>
        <w:t xml:space="preserve">，</w:t>
      </w:r>
      <w:r>
        <w:rPr>
          <w:rFonts w:ascii="宋体" w:hAnsi="宋体" w:cs="Courier New"/>
          <w:sz w:val="24"/>
          <w:szCs w:val="24"/>
        </w:rPr>
        <w:t xml:space="preserve">签署本合同。</w:t>
      </w:r>
      <w:r>
        <w:rPr>
          <w:rFonts w:ascii="宋体" w:hAnsi="宋体" w:cs="Courier New"/>
          <w:b/>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 标的名称：</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采购人指定地点。</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02"/>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本合同金额为（大写）：____________________圆（_________________元）人民币。</w:t>
      </w:r>
      <w:r>
        <w:rPr>
          <w:rFonts w:hAnsi="宋体"/>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860"/>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乙方应按招标文件规定的时间向甲方提供货物(包含与货物相关的服务)的有关技术资料。</w:t>
      </w:r>
      <w:r/>
    </w:p>
    <w:p>
      <w:pPr>
        <w:pStyle w:val="860"/>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w:t>
      </w:r>
      <w:r>
        <w:rPr>
          <w:rFonts w:hint="eastAsia" w:ascii="宋体" w:hAnsi="宋体" w:cs="Courier New"/>
          <w:sz w:val="24"/>
          <w:szCs w:val="24"/>
        </w:rPr>
        <w:t xml:space="preserve">同终止后5年为止，以两者孰长为准。</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乙方保证所交付的货物（包含与货物相关的服务）的所有权完全属于乙方且无任何抵押、查封等产权瑕疵。</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6.1</w:t>
      </w:r>
      <w:r>
        <w:rPr>
          <w:rFonts w:hint="eastAsia" w:ascii="宋体" w:hAnsi="宋体" w:cs="Courier New"/>
          <w:sz w:val="24"/>
          <w:szCs w:val="24"/>
        </w:rPr>
        <w:t xml:space="preserve"> 签订合同时，乙方按照合同金额</w:t>
      </w:r>
      <w:r>
        <w:rPr>
          <w:rFonts w:hint="eastAsia" w:ascii="宋体" w:hAnsi="宋体" w:cs="Courier New"/>
          <w:sz w:val="24"/>
          <w:szCs w:val="24"/>
          <w:u w:val="single"/>
        </w:rPr>
        <w:t xml:space="preserve"> 10 </w:t>
      </w:r>
      <w:r>
        <w:rPr>
          <w:rFonts w:hint="eastAsia" w:ascii="宋体" w:hAnsi="宋体" w:cs="Courier New"/>
          <w:sz w:val="24"/>
          <w:szCs w:val="24"/>
        </w:rPr>
        <w:t xml:space="preserve">%缴纳履约保证金。合同履行结束后，甲方按以下约定退还：</w:t>
      </w:r>
      <w:r/>
    </w:p>
    <w:p>
      <w:pPr>
        <w:pStyle w:val="860"/>
        <w:spacing w:line="264" w:lineRule="auto"/>
        <w:rPr>
          <w:rFonts w:ascii="宋体" w:hAnsi="宋体" w:cs="Courier New"/>
          <w:sz w:val="24"/>
          <w:szCs w:val="24"/>
        </w:rPr>
      </w:pPr>
      <w:r>
        <w:rPr>
          <w:rFonts w:hint="eastAsia" w:ascii="宋体" w:hAnsi="宋体" w:cs="Courier New"/>
          <w:sz w:val="24"/>
          <w:szCs w:val="24"/>
        </w:rPr>
        <w:t xml:space="preserve">6.1.1</w:t>
      </w:r>
      <w:r>
        <w:rPr>
          <w:rFonts w:hint="eastAsia" w:ascii="宋体" w:hAnsi="宋体" w:cs="Courier New"/>
          <w:sz w:val="24"/>
          <w:szCs w:val="24"/>
        </w:rPr>
        <w:t xml:space="preserve"> 退还时间及条件：验收合格且合同履行</w:t>
      </w:r>
      <w:r>
        <w:rPr>
          <w:rFonts w:hint="eastAsia" w:ascii="宋体" w:hAnsi="宋体" w:cs="Courier New"/>
          <w:sz w:val="24"/>
          <w:szCs w:val="24"/>
        </w:rPr>
        <w:t xml:space="preserve">期结束后5个工作日内。</w:t>
      </w:r>
      <w:r>
        <w:rPr>
          <w:rFonts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6.1.2</w:t>
      </w:r>
      <w:r>
        <w:rPr>
          <w:rFonts w:hint="eastAsia" w:ascii="宋体" w:hAnsi="宋体" w:cs="Courier New"/>
          <w:sz w:val="24"/>
          <w:szCs w:val="24"/>
        </w:rPr>
        <w:t xml:space="preserve"> 退还方式：扣除违约费用后一次性无息退还。</w:t>
      </w:r>
      <w:r/>
    </w:p>
    <w:p>
      <w:pPr>
        <w:pStyle w:val="860"/>
        <w:spacing w:line="264" w:lineRule="auto"/>
        <w:rPr>
          <w:rFonts w:ascii="宋体" w:hAnsi="宋体" w:cs="Courier New"/>
          <w:sz w:val="24"/>
          <w:szCs w:val="24"/>
        </w:rPr>
      </w:pPr>
      <w:r>
        <w:rPr>
          <w:rFonts w:hint="eastAsia" w:ascii="宋体" w:hAnsi="宋体" w:cs="Courier New"/>
          <w:sz w:val="24"/>
          <w:szCs w:val="24"/>
        </w:rPr>
        <w:t xml:space="preserve">6.1.3 </w:t>
      </w:r>
      <w:r>
        <w:rPr>
          <w:rFonts w:hint="eastAsia" w:ascii="宋体" w:hAnsi="宋体" w:cs="Courier New"/>
          <w:sz w:val="24"/>
          <w:szCs w:val="24"/>
        </w:rPr>
        <w:t xml:space="preserve">不予退还的情形：合同约定的交付期内未履约完成、验收不合格、整改不到位等情形。</w:t>
      </w:r>
      <w:r>
        <w:rPr>
          <w:rFonts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6.1.4</w:t>
      </w:r>
      <w:r>
        <w:rPr>
          <w:rFonts w:hint="eastAsia" w:ascii="宋体" w:hAnsi="宋体" w:cs="Courier New"/>
          <w:sz w:val="24"/>
          <w:szCs w:val="24"/>
        </w:rPr>
        <w:t xml:space="preserve"> 逾期退还履约保证金责任：甲方逾期退还履约保证金的，除应当退还履约保证金本金外，还应当按照每日万分之五的利率支付逾期利息，但因乙方自身原因导致无法及时退还的除外。</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w:t>
      </w:r>
      <w:r>
        <w:rPr>
          <w:rFonts w:hint="eastAsia" w:ascii="宋体" w:hAnsi="宋体" w:cs="Courier New"/>
          <w:sz w:val="24"/>
          <w:szCs w:val="24"/>
        </w:rPr>
        <w:t xml:space="preserve">自动失效。如乙方未按要求履行合同义务，由担保人按照合同约定对甲方承担赔偿责任。</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02"/>
        <w:spacing w:line="264" w:lineRule="auto"/>
        <w:rPr>
          <w:rFonts w:hint="eastAsia" w:hAnsi="宋体"/>
          <w:sz w:val="24"/>
          <w:szCs w:val="24"/>
        </w:rPr>
        <w:outlineLvl w:val="3"/>
      </w:pPr>
      <w:r>
        <w:rPr>
          <w:rFonts w:hint="eastAsia" w:hAnsi="宋体"/>
          <w:sz w:val="24"/>
          <w:szCs w:val="24"/>
        </w:rPr>
        <w:t xml:space="preserve">8.1 合同款项的支付方式及时间</w:t>
      </w:r>
      <w:r/>
    </w:p>
    <w:p>
      <w:pPr>
        <w:pStyle w:val="902"/>
        <w:rPr>
          <w:rFonts w:hint="eastAsia" w:hAnsi="宋体"/>
          <w:sz w:val="24"/>
          <w:szCs w:val="24"/>
        </w:rPr>
      </w:pPr>
      <w:r>
        <w:rPr>
          <w:rFonts w:hint="eastAsia" w:hAnsi="宋体"/>
          <w:sz w:val="24"/>
          <w:szCs w:val="24"/>
        </w:rPr>
        <w:t xml:space="preserve">8.1.1 合同签订后，甲方支付合同总价款的30%作为预付款。</w:t>
      </w:r>
      <w:r/>
    </w:p>
    <w:p>
      <w:pPr>
        <w:pStyle w:val="902"/>
        <w:rPr>
          <w:rFonts w:hint="eastAsia" w:hAnsi="宋体"/>
          <w:sz w:val="24"/>
          <w:szCs w:val="24"/>
        </w:rPr>
      </w:pPr>
      <w:r>
        <w:rPr>
          <w:rFonts w:hint="eastAsia" w:hAnsi="宋体"/>
          <w:sz w:val="24"/>
          <w:szCs w:val="24"/>
        </w:rPr>
        <w:t xml:space="preserve">8.1.2 电梯全部安装完成后，经甲方及政府相关部门验收合格并取得电梯监督检验报告书后，支付至合同总额的1</w:t>
      </w:r>
      <w:r>
        <w:rPr>
          <w:rFonts w:hAnsi="宋体"/>
          <w:sz w:val="24"/>
          <w:szCs w:val="24"/>
        </w:rPr>
        <w:t xml:space="preserve">00</w:t>
      </w:r>
      <w:r>
        <w:rPr>
          <w:rFonts w:hint="eastAsia" w:hAnsi="宋体"/>
          <w:sz w:val="24"/>
          <w:szCs w:val="24"/>
        </w:rPr>
        <w:t xml:space="preserve">%；</w:t>
      </w:r>
      <w:r/>
    </w:p>
    <w:p>
      <w:pPr>
        <w:pStyle w:val="902"/>
        <w:spacing w:line="264" w:lineRule="auto"/>
        <w:rPr>
          <w:rFonts w:hint="eastAsia" w:hAnsi="宋体"/>
          <w:sz w:val="24"/>
          <w:szCs w:val="24"/>
        </w:rPr>
      </w:pPr>
      <w:r>
        <w:rPr>
          <w:rFonts w:hint="eastAsia" w:hAnsi="宋体"/>
          <w:sz w:val="24"/>
          <w:szCs w:val="24"/>
        </w:rPr>
        <w:t xml:space="preserve">8.1.3 满足合同约定支付条件的，甲方收到乙方发票后10个工作日内，将资金支付到合同约定的乙方账户。 </w:t>
      </w:r>
      <w:r/>
    </w:p>
    <w:p>
      <w:pPr>
        <w:pStyle w:val="902"/>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902"/>
        <w:spacing w:line="264" w:lineRule="auto"/>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10.1 乙方应按招标文件规定的货物性能、技术要求、质</w:t>
      </w:r>
      <w:r>
        <w:rPr>
          <w:rFonts w:hint="eastAsia" w:ascii="宋体" w:hAnsi="宋体" w:cs="Courier New"/>
          <w:sz w:val="24"/>
          <w:szCs w:val="24"/>
        </w:rPr>
        <w:t xml:space="preserve">量标准向甲方提供未经使用的全新产品。</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乙方提供的货物在质保期内因货物本身的质量问题发生故障，乙方应负责免费更换。对达不到技术要求者，根据实际情况，经双方协商可按以下方式处理：</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10.2.1 更换：由乙方承担所发生的全部费用。</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10.2.2 贬值处理：由甲乙双方合议定价。</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10.3 如在使用过程中发生质量问题，乙方应在接到甲方通知后</w:t>
      </w:r>
      <w:r>
        <w:rPr>
          <w:rFonts w:hint="eastAsia" w:ascii="宋体" w:hAnsi="宋体" w:cs="Courier New"/>
          <w:sz w:val="24"/>
          <w:szCs w:val="24"/>
          <w:u w:val="single"/>
        </w:rPr>
        <w:t xml:space="preserve">     </w:t>
      </w:r>
      <w:r>
        <w:rPr>
          <w:rFonts w:hint="eastAsia" w:ascii="宋体" w:hAnsi="宋体" w:cs="Courier New"/>
          <w:sz w:val="24"/>
          <w:szCs w:val="24"/>
        </w:rPr>
        <w:t xml:space="preserve">小时内到达甲方现场。</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10.4 质保期内，乙方</w:t>
      </w:r>
      <w:r>
        <w:rPr>
          <w:rFonts w:hint="eastAsia" w:ascii="宋体" w:hAnsi="宋体" w:cs="Courier New"/>
          <w:sz w:val="24"/>
          <w:szCs w:val="24"/>
        </w:rPr>
        <w:t xml:space="preserve">应对货物出现的质量及安全问题负责处理解决并承担一切费用。</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10.5 质保期为自交货验收合格之日起</w:t>
      </w:r>
      <w:r>
        <w:rPr>
          <w:rFonts w:hint="eastAsia" w:ascii="宋体" w:hAnsi="宋体" w:cs="Courier New"/>
          <w:sz w:val="24"/>
          <w:szCs w:val="24"/>
          <w:u w:val="single"/>
        </w:rPr>
        <w:t xml:space="preserve">     </w:t>
      </w:r>
      <w:r>
        <w:rPr>
          <w:rFonts w:hint="eastAsia" w:ascii="宋体" w:hAnsi="宋体" w:cs="Courier New"/>
          <w:sz w:val="24"/>
          <w:szCs w:val="24"/>
        </w:rPr>
        <w:t xml:space="preserve">年，因人为因素出现的故障不在质保范围内。超过质保期的乙方负责终生维修，维修时只收取部件成本费。</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11.3 对于实际使用人和</w:t>
      </w:r>
      <w:r>
        <w:rPr>
          <w:rFonts w:hint="eastAsia" w:ascii="宋体" w:hAnsi="宋体" w:cs="Courier New"/>
          <w:sz w:val="24"/>
          <w:szCs w:val="24"/>
        </w:rPr>
        <w:t xml:space="preserve">甲方分离的项目，甲方邀请实际使用人参与验收。</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11.4 如有必要，甲方可邀请参加本项目投标的其他供应商或第三方专业机构及专家参与验收，相关意见将作为验收结论的参考。</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p>
    <w:p>
      <w:pPr>
        <w:pStyle w:val="860"/>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w:t>
      </w:r>
      <w:r>
        <w:rPr>
          <w:rFonts w:hint="eastAsia" w:ascii="宋体" w:hAnsi="宋体" w:cs="Courier New"/>
          <w:sz w:val="24"/>
          <w:szCs w:val="24"/>
        </w:rPr>
        <w:t xml:space="preserve">）》的规定。</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12.4 货物在交付甲方前发生的风险均由乙方负责。</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30% </w:t>
      </w:r>
      <w:r>
        <w:rPr>
          <w:rFonts w:hint="eastAsia" w:ascii="宋体" w:hAnsi="宋体" w:cs="Courier New"/>
          <w:sz w:val="24"/>
          <w:szCs w:val="24"/>
        </w:rPr>
        <w:t xml:space="preserve">的违约金。</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1% </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1%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30% </w:t>
      </w:r>
      <w:r>
        <w:rPr>
          <w:rFonts w:hint="eastAsia" w:ascii="宋体" w:hAnsi="宋体" w:cs="Courier New"/>
          <w:sz w:val="24"/>
          <w:szCs w:val="24"/>
        </w:rPr>
        <w:t xml:space="preserve">的违约金</w:t>
      </w:r>
      <w:r>
        <w:rPr>
          <w:rFonts w:hint="eastAsia" w:ascii="宋体" w:hAnsi="宋体" w:cs="Courier New"/>
          <w:sz w:val="24"/>
          <w:szCs w:val="24"/>
        </w:rPr>
        <w:t xml:space="preserve">。 </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60"/>
        <w:spacing w:line="264" w:lineRule="auto"/>
        <w:rPr>
          <w:rFonts w:hint="eastAsia"/>
        </w:rPr>
      </w:pPr>
      <w:r>
        <w:rPr>
          <w:rFonts w:hint="eastAsia" w:ascii="宋体" w:hAnsi="宋体" w:cs="Courier New"/>
          <w:sz w:val="24"/>
          <w:szCs w:val="24"/>
        </w:rPr>
        <w:t xml:space="preserve">13.5 甲乙双方任何一方</w:t>
      </w:r>
      <w:r>
        <w:rPr>
          <w:rFonts w:hint="eastAsia" w:ascii="宋体" w:hAnsi="宋体" w:cs="Courier New"/>
          <w:sz w:val="24"/>
          <w:szCs w:val="24"/>
        </w:rPr>
        <w:t xml:space="preserve">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十六、合同生效及其它</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16.1 本合同经双方加盖单位公章后生效。</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16.2 本合同未尽事宜，遵照《中华人民共和国民法典》《中华人民共和国政府采购法》有关条文执行。</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r/>
    </w:p>
    <w:p>
      <w:pPr>
        <w:pStyle w:val="902"/>
        <w:spacing w:before="120" w:after="120" w:line="264" w:lineRule="auto"/>
        <w:rPr>
          <w:rFonts w:hint="eastAsia" w:hAnsi="宋体"/>
          <w:sz w:val="24"/>
          <w:szCs w:val="24"/>
        </w:rPr>
      </w:pPr>
      <w:r/>
      <w:bookmarkEnd w:id="185"/>
      <w:r/>
      <w:bookmarkEnd w:id="186"/>
      <w:r/>
      <w:bookmarkEnd w:id="187"/>
      <w:r/>
      <w:bookmarkStart w:id="194" w:name="_Hlt16619369"/>
      <w:r/>
      <w:bookmarkEnd w:id="194"/>
      <w:r>
        <w:rPr>
          <w:rFonts w:hint="eastAsia" w:hAnsi="宋体"/>
          <w:sz w:val="24"/>
          <w:szCs w:val="24"/>
        </w:rPr>
        <w:t xml:space="preserve">  </w:t>
      </w:r>
      <w:r/>
    </w:p>
    <w:p>
      <w:pPr>
        <w:pStyle w:val="902"/>
        <w:spacing w:before="120" w:after="120" w:line="264" w:lineRule="auto"/>
        <w:rPr>
          <w:rFonts w:hint="eastAsia" w:hAnsi="宋体"/>
          <w:sz w:val="24"/>
          <w:szCs w:val="24"/>
        </w:rPr>
      </w:pPr>
      <w:r>
        <w:rPr>
          <w:rFonts w:hint="eastAsia" w:hAnsi="宋体"/>
          <w:sz w:val="24"/>
          <w:szCs w:val="24"/>
        </w:rPr>
        <w:t xml:space="preserve">甲  方：（公章）                       乙  方：（公章） </w:t>
      </w:r>
      <w:r/>
    </w:p>
    <w:p>
      <w:pPr>
        <w:pStyle w:val="902"/>
        <w:spacing w:before="120" w:after="120" w:line="264" w:lineRule="auto"/>
        <w:rPr>
          <w:rFonts w:hint="eastAsia" w:hAnsi="宋体"/>
          <w:sz w:val="24"/>
          <w:szCs w:val="24"/>
        </w:rPr>
      </w:pPr>
      <w:r>
        <w:rPr>
          <w:rFonts w:hint="eastAsia" w:hAnsi="宋体"/>
          <w:sz w:val="24"/>
          <w:szCs w:val="24"/>
        </w:rPr>
        <w:t xml:space="preserve">地  址：     </w:t>
      </w:r>
      <w:r>
        <w:rPr>
          <w:rFonts w:hint="eastAsia" w:hAnsi="宋体"/>
          <w:sz w:val="24"/>
          <w:szCs w:val="24"/>
        </w:rPr>
        <w:t xml:space="preserve">                          地  址： </w:t>
      </w:r>
      <w:r/>
    </w:p>
    <w:p>
      <w:pPr>
        <w:pStyle w:val="902"/>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p>
    <w:p>
      <w:pPr>
        <w:pStyle w:val="902"/>
        <w:spacing w:before="120" w:after="120" w:line="264" w:lineRule="auto"/>
        <w:rPr>
          <w:rFonts w:hint="eastAsia" w:hAnsi="宋体"/>
          <w:sz w:val="24"/>
          <w:szCs w:val="24"/>
        </w:rPr>
      </w:pPr>
      <w:r>
        <w:rPr>
          <w:rFonts w:hint="eastAsia" w:hAnsi="宋体"/>
          <w:sz w:val="24"/>
          <w:szCs w:val="24"/>
        </w:rPr>
        <w:t xml:space="preserve">联系电话：                             联系电话：          </w:t>
      </w:r>
      <w:r/>
    </w:p>
    <w:p>
      <w:pPr>
        <w:pStyle w:val="902"/>
        <w:spacing w:before="120" w:after="120" w:line="264" w:lineRule="auto"/>
        <w:rPr>
          <w:rFonts w:hint="eastAsia" w:hAnsi="宋体"/>
          <w:sz w:val="24"/>
          <w:szCs w:val="24"/>
        </w:rPr>
      </w:pPr>
      <w:r>
        <w:rPr>
          <w:rFonts w:hint="eastAsia" w:hAnsi="宋体"/>
          <w:sz w:val="24"/>
          <w:szCs w:val="24"/>
        </w:rPr>
        <w:t xml:space="preserve">                                          </w:t>
      </w:r>
      <w:r/>
    </w:p>
    <w:p>
      <w:pPr>
        <w:pStyle w:val="902"/>
        <w:ind w:firstLine="4800"/>
        <w:spacing w:before="120" w:after="120" w:line="264" w:lineRule="auto"/>
        <w:rPr>
          <w:rFonts w:hint="eastAsia" w:hAnsi="宋体"/>
          <w:sz w:val="24"/>
          <w:szCs w:val="24"/>
        </w:rPr>
      </w:pPr>
      <w:r>
        <w:rPr>
          <w:rFonts w:hint="eastAsia" w:hAnsi="宋体"/>
          <w:sz w:val="24"/>
          <w:szCs w:val="24"/>
        </w:rPr>
        <w:t xml:space="preserve">签订日期：      </w:t>
      </w:r>
      <w:r/>
    </w:p>
    <w:p>
      <w:pPr>
        <w:pStyle w:val="860"/>
        <w:jc w:val="center"/>
        <w:spacing w:before="145" w:after="145" w:line="264" w:lineRule="auto"/>
        <w:rPr>
          <w:rFonts w:hint="eastAsia" w:ascii="宋体" w:hAnsi="宋体"/>
          <w:b/>
          <w:sz w:val="30"/>
          <w:szCs w:val="21"/>
        </w:rPr>
      </w:pPr>
      <w:r>
        <w:rPr>
          <w:rFonts w:hint="eastAsia" w:ascii="宋体" w:hAnsi="宋体"/>
          <w:b/>
          <w:sz w:val="30"/>
          <w:szCs w:val="21"/>
        </w:rPr>
      </w:r>
      <w:r/>
    </w:p>
    <w:p>
      <w:pPr>
        <w:pStyle w:val="860"/>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pStyle w:val="860"/>
        <w:jc w:val="center"/>
        <w:spacing w:before="145" w:after="145" w:line="264" w:lineRule="auto"/>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902"/>
        <w:ind w:firstLine="480"/>
        <w:jc w:val="left"/>
        <w:spacing w:before="120" w:after="120" w:line="264" w:lineRule="auto"/>
        <w:rPr>
          <w:rFonts w:hAnsi="宋体"/>
          <w:sz w:val="24"/>
          <w:szCs w:val="24"/>
        </w:rPr>
      </w:pPr>
      <w:r>
        <w:rPr>
          <w:rFonts w:hint="eastAsia" w:hAnsi="宋体"/>
          <w:sz w:val="24"/>
          <w:szCs w:val="24"/>
        </w:rPr>
        <w:t xml:space="preserve">招标文件及合同未约定事项，双方可友好协商签订补充协议。</w:t>
      </w:r>
      <w:r>
        <w:rPr>
          <w:rFonts w:hAnsi="宋体"/>
          <w:sz w:val="24"/>
          <w:szCs w:val="24"/>
        </w:rPr>
      </w:r>
      <w:r/>
    </w:p>
    <w:p>
      <w:pPr>
        <w:pStyle w:val="860"/>
        <w:ind w:firstLine="480"/>
        <w:spacing w:line="440" w:lineRule="exact"/>
        <w:rPr>
          <w:rFonts w:ascii="仿宋" w:hAnsi="仿宋" w:eastAsia="仿宋"/>
          <w:sz w:val="24"/>
          <w:szCs w:val="24"/>
        </w:rPr>
      </w:pPr>
      <w:r>
        <w:rPr>
          <w:rFonts w:ascii="仿宋" w:hAnsi="仿宋" w:eastAsia="仿宋"/>
          <w:sz w:val="24"/>
          <w:szCs w:val="24"/>
        </w:rPr>
      </w:r>
      <w:r/>
    </w:p>
    <w:p>
      <w:pPr>
        <w:pStyle w:val="860"/>
        <w:ind w:firstLine="480"/>
        <w:spacing w:line="440" w:lineRule="exact"/>
        <w:rPr>
          <w:rFonts w:ascii="仿宋" w:hAnsi="仿宋" w:eastAsia="仿宋"/>
          <w:sz w:val="24"/>
          <w:szCs w:val="24"/>
        </w:rPr>
      </w:pPr>
      <w:r>
        <w:rPr>
          <w:rFonts w:ascii="仿宋" w:hAnsi="仿宋" w:eastAsia="仿宋"/>
          <w:sz w:val="24"/>
          <w:szCs w:val="24"/>
        </w:rPr>
      </w:r>
      <w:r/>
    </w:p>
    <w:p>
      <w:pPr>
        <w:ind w:firstLine="480"/>
        <w:spacing w:line="440" w:lineRule="exact"/>
        <w:rPr>
          <w:rFonts w:ascii="仿宋" w:hAnsi="仿宋" w:eastAsia="仿宋"/>
          <w:sz w:val="24"/>
          <w:szCs w:val="24"/>
        </w:rPr>
      </w:pPr>
      <w:r>
        <w:rPr>
          <w:rFonts w:ascii="仿宋" w:hAnsi="仿宋" w:eastAsia="仿宋"/>
          <w:sz w:val="24"/>
          <w:szCs w:val="24"/>
        </w:rPr>
      </w:r>
      <w:r>
        <w:rPr>
          <w:rFonts w:ascii="仿宋" w:hAnsi="仿宋" w:eastAsia="仿宋"/>
          <w:sz w:val="24"/>
          <w:szCs w:val="24"/>
        </w:rPr>
      </w:r>
      <w:r/>
    </w:p>
    <w:p>
      <w:pPr>
        <w:ind w:firstLine="480"/>
        <w:spacing w:line="440" w:lineRule="exact"/>
        <w:rPr>
          <w:rFonts w:ascii="仿宋" w:hAnsi="仿宋" w:eastAsia="仿宋"/>
          <w:sz w:val="24"/>
          <w:szCs w:val="24"/>
        </w:rPr>
      </w:pPr>
      <w:r>
        <w:rPr>
          <w:rFonts w:ascii="仿宋" w:hAnsi="仿宋" w:eastAsia="仿宋"/>
          <w:sz w:val="24"/>
          <w:szCs w:val="24"/>
        </w:rPr>
      </w:r>
      <w:r>
        <w:rPr>
          <w:rFonts w:ascii="仿宋" w:hAnsi="仿宋" w:eastAsia="仿宋"/>
          <w:sz w:val="24"/>
          <w:szCs w:val="24"/>
        </w:rPr>
      </w:r>
      <w:r/>
    </w:p>
    <w:p>
      <w:pPr>
        <w:ind w:firstLine="480"/>
        <w:spacing w:line="440" w:lineRule="exact"/>
        <w:rPr>
          <w:rFonts w:ascii="仿宋" w:hAnsi="仿宋" w:eastAsia="仿宋"/>
          <w:sz w:val="24"/>
          <w:szCs w:val="24"/>
        </w:rPr>
      </w:pPr>
      <w:r>
        <w:rPr>
          <w:rFonts w:ascii="仿宋" w:hAnsi="仿宋" w:eastAsia="仿宋"/>
          <w:sz w:val="24"/>
          <w:szCs w:val="24"/>
        </w:rPr>
      </w:r>
      <w:r>
        <w:rPr>
          <w:rFonts w:ascii="仿宋" w:hAnsi="仿宋" w:eastAsia="仿宋"/>
          <w:sz w:val="24"/>
          <w:szCs w:val="24"/>
        </w:rPr>
      </w:r>
      <w:r/>
    </w:p>
    <w:p>
      <w:pPr>
        <w:ind w:firstLine="480"/>
        <w:spacing w:line="440" w:lineRule="exact"/>
        <w:rPr>
          <w:rFonts w:ascii="仿宋" w:hAnsi="仿宋" w:eastAsia="仿宋"/>
          <w:sz w:val="24"/>
          <w:szCs w:val="24"/>
        </w:rPr>
      </w:pPr>
      <w:r>
        <w:rPr>
          <w:rFonts w:ascii="仿宋" w:hAnsi="仿宋" w:eastAsia="仿宋"/>
          <w:sz w:val="24"/>
          <w:szCs w:val="24"/>
        </w:rPr>
      </w:r>
      <w:r>
        <w:rPr>
          <w:rFonts w:ascii="仿宋" w:hAnsi="仿宋" w:eastAsia="仿宋"/>
          <w:sz w:val="24"/>
          <w:szCs w:val="24"/>
        </w:rPr>
      </w:r>
      <w:r/>
    </w:p>
    <w:p>
      <w:pPr>
        <w:pStyle w:val="860"/>
        <w:ind w:firstLine="480"/>
        <w:spacing w:line="440" w:lineRule="exact"/>
        <w:rPr>
          <w:rFonts w:ascii="仿宋" w:hAnsi="仿宋" w:eastAsia="仿宋"/>
          <w:sz w:val="24"/>
          <w:szCs w:val="24"/>
        </w:rPr>
      </w:pPr>
      <w:r>
        <w:rPr>
          <w:rFonts w:ascii="仿宋" w:hAnsi="仿宋" w:eastAsia="仿宋"/>
          <w:sz w:val="24"/>
          <w:szCs w:val="24"/>
        </w:rPr>
      </w:r>
      <w:r/>
    </w:p>
    <w:p>
      <w:pPr>
        <w:pStyle w:val="860"/>
        <w:ind w:firstLine="480"/>
        <w:spacing w:line="440" w:lineRule="exact"/>
        <w:rPr>
          <w:rFonts w:ascii="仿宋" w:hAnsi="仿宋" w:eastAsia="仿宋"/>
          <w:sz w:val="24"/>
          <w:szCs w:val="24"/>
        </w:rPr>
      </w:pPr>
      <w:r>
        <w:rPr>
          <w:rFonts w:ascii="仿宋" w:hAnsi="仿宋" w:eastAsia="仿宋"/>
          <w:sz w:val="24"/>
          <w:szCs w:val="24"/>
        </w:rPr>
      </w:r>
      <w:r/>
    </w:p>
    <w:p>
      <w:pPr>
        <w:pStyle w:val="860"/>
        <w:ind w:firstLine="480"/>
        <w:spacing w:line="440" w:lineRule="exact"/>
        <w:rPr>
          <w:rFonts w:ascii="仿宋" w:hAnsi="仿宋" w:eastAsia="仿宋"/>
          <w:sz w:val="24"/>
          <w:szCs w:val="24"/>
        </w:rPr>
      </w:pPr>
      <w:r>
        <w:rPr>
          <w:rFonts w:ascii="仿宋" w:hAnsi="仿宋" w:eastAsia="仿宋"/>
          <w:sz w:val="24"/>
          <w:szCs w:val="24"/>
        </w:rPr>
      </w:r>
      <w:r/>
    </w:p>
    <w:p>
      <w:pPr>
        <w:pStyle w:val="860"/>
        <w:ind w:firstLine="480"/>
        <w:spacing w:line="440" w:lineRule="exact"/>
        <w:rPr>
          <w:rFonts w:hint="eastAsia" w:ascii="仿宋" w:hAnsi="仿宋" w:eastAsia="仿宋"/>
          <w:sz w:val="24"/>
          <w:szCs w:val="24"/>
        </w:rPr>
      </w:pPr>
      <w:r>
        <w:rPr>
          <w:rFonts w:hint="eastAsia" w:ascii="仿宋" w:hAnsi="仿宋" w:eastAsia="仿宋"/>
          <w:sz w:val="24"/>
          <w:szCs w:val="24"/>
        </w:rPr>
        <w:t xml:space="preserve">附件：</w:t>
      </w:r>
      <w:r/>
    </w:p>
    <w:p>
      <w:pPr>
        <w:pStyle w:val="860"/>
        <w:jc w:val="center"/>
        <w:rPr>
          <w:rFonts w:hint="eastAsia" w:ascii="华文中宋" w:hAnsi="华文中宋" w:eastAsia="华文中宋"/>
          <w:bCs/>
          <w:sz w:val="44"/>
          <w:szCs w:val="44"/>
        </w:rPr>
      </w:pPr>
      <w:r>
        <w:rPr>
          <w:rFonts w:hint="eastAsia" w:ascii="华文中宋" w:hAnsi="华文中宋" w:eastAsia="华文中宋"/>
          <w:b/>
          <w:bCs/>
          <w:sz w:val="44"/>
          <w:szCs w:val="44"/>
        </w:rPr>
        <w:t xml:space="preserve">安全协议</w:t>
      </w:r>
      <w:r>
        <w:rPr>
          <w:rFonts w:hint="eastAsia" w:ascii="华文中宋" w:hAnsi="华文中宋" w:eastAsia="华文中宋"/>
          <w:bCs/>
          <w:sz w:val="44"/>
          <w:szCs w:val="44"/>
        </w:rPr>
      </w:r>
      <w:r/>
    </w:p>
    <w:p>
      <w:pPr>
        <w:pStyle w:val="860"/>
        <w:ind w:firstLine="480"/>
        <w:spacing w:line="440" w:lineRule="exact"/>
        <w:rPr>
          <w:rFonts w:hint="eastAsia" w:ascii="宋体" w:hAnsi="宋体"/>
          <w:sz w:val="24"/>
          <w:szCs w:val="24"/>
        </w:rPr>
      </w:pPr>
      <w:r>
        <w:rPr>
          <w:rFonts w:hint="eastAsia" w:ascii="宋体" w:hAnsi="宋体"/>
          <w:sz w:val="24"/>
          <w:szCs w:val="24"/>
        </w:rPr>
        <w:t xml:space="preserve">一、乙方贯彻执行消防法规、建筑法规、安全治安管理</w:t>
      </w:r>
      <w:r>
        <w:rPr>
          <w:rFonts w:hint="eastAsia" w:ascii="宋体" w:hAnsi="宋体"/>
          <w:sz w:val="24"/>
          <w:szCs w:val="24"/>
        </w:rPr>
        <w:t xml:space="preserve">有关法律法规，并掌握甲方的消防安全状况，自觉接受甲方保卫处、动力科的安全管理领导。</w:t>
      </w:r>
      <w:r/>
    </w:p>
    <w:p>
      <w:pPr>
        <w:pStyle w:val="860"/>
        <w:ind w:firstLine="480"/>
        <w:spacing w:line="440" w:lineRule="exact"/>
        <w:rPr>
          <w:rFonts w:hint="eastAsia" w:ascii="宋体" w:hAnsi="宋体"/>
          <w:sz w:val="24"/>
          <w:szCs w:val="24"/>
        </w:rPr>
      </w:pPr>
      <w:r>
        <w:rPr>
          <w:rFonts w:hint="eastAsia" w:ascii="宋体" w:hAnsi="宋体"/>
          <w:sz w:val="24"/>
          <w:szCs w:val="24"/>
        </w:rPr>
        <w:t xml:space="preserve">二、乙方建筑施工安全生产管理必须坚持安全第一、预防为主的方针，乙方的法定代表人对本企业的安全生产负责。</w:t>
      </w:r>
      <w:r/>
    </w:p>
    <w:p>
      <w:pPr>
        <w:pStyle w:val="860"/>
        <w:ind w:firstLine="480"/>
        <w:spacing w:line="440" w:lineRule="exact"/>
        <w:rPr>
          <w:rFonts w:hint="eastAsia" w:ascii="宋体" w:hAnsi="宋体"/>
          <w:sz w:val="24"/>
          <w:szCs w:val="24"/>
        </w:rPr>
      </w:pPr>
      <w:r>
        <w:rPr>
          <w:rFonts w:hint="eastAsia" w:ascii="宋体" w:hAnsi="宋体"/>
          <w:sz w:val="24"/>
          <w:szCs w:val="24"/>
        </w:rPr>
        <w:t xml:space="preserve">三、乙方必须依法加强对建筑安全生产的管理，执行安全生产责任制度，采取有效措施，防止伤亡和其他安全生产事故的发生。如因施工原因发生工伤事故，均由乙方承担全部费用及责任。</w:t>
      </w:r>
      <w:r/>
    </w:p>
    <w:p>
      <w:pPr>
        <w:pStyle w:val="860"/>
        <w:ind w:firstLine="480"/>
        <w:spacing w:line="440" w:lineRule="exact"/>
        <w:rPr>
          <w:rFonts w:hint="eastAsia" w:ascii="宋体" w:hAnsi="宋体"/>
          <w:sz w:val="24"/>
          <w:szCs w:val="24"/>
        </w:rPr>
      </w:pPr>
      <w:r>
        <w:rPr>
          <w:rFonts w:hint="eastAsia" w:ascii="宋体" w:hAnsi="宋体"/>
          <w:sz w:val="24"/>
          <w:szCs w:val="24"/>
        </w:rPr>
        <w:t xml:space="preserve">四、乙方应当建立健全劳动安全生产教育培训制度，加强对职工安全生产的教育和培训；未经安全生产教育培训人员不得上岗作业。</w:t>
      </w:r>
      <w:r/>
    </w:p>
    <w:p>
      <w:pPr>
        <w:pStyle w:val="860"/>
        <w:ind w:firstLine="480"/>
        <w:spacing w:line="440" w:lineRule="exact"/>
        <w:rPr>
          <w:rFonts w:hint="eastAsia" w:ascii="宋体" w:hAnsi="宋体"/>
          <w:sz w:val="24"/>
          <w:szCs w:val="24"/>
        </w:rPr>
      </w:pPr>
      <w:r>
        <w:rPr>
          <w:rFonts w:hint="eastAsia" w:ascii="宋体" w:hAnsi="宋体"/>
          <w:sz w:val="24"/>
          <w:szCs w:val="24"/>
        </w:rPr>
        <w:t xml:space="preserve">五、乙方和作业</w:t>
      </w:r>
      <w:r>
        <w:rPr>
          <w:rFonts w:hint="eastAsia" w:ascii="宋体" w:hAnsi="宋体"/>
          <w:sz w:val="24"/>
          <w:szCs w:val="24"/>
        </w:rPr>
        <w:t xml:space="preserve">人员在施工过程中，应当遵守有关安全生产的法律、法规和建筑行业安全规章（规程），不得违章指挥或违章作业。</w:t>
      </w:r>
      <w:r/>
    </w:p>
    <w:p>
      <w:pPr>
        <w:pStyle w:val="860"/>
        <w:ind w:firstLine="480"/>
        <w:spacing w:line="440" w:lineRule="exact"/>
        <w:rPr>
          <w:rFonts w:hint="eastAsia" w:ascii="宋体" w:hAnsi="宋体"/>
          <w:sz w:val="24"/>
          <w:szCs w:val="24"/>
        </w:rPr>
      </w:pPr>
      <w:r>
        <w:rPr>
          <w:rFonts w:hint="eastAsia" w:ascii="宋体" w:hAnsi="宋体"/>
          <w:sz w:val="24"/>
          <w:szCs w:val="24"/>
        </w:rPr>
        <w:t xml:space="preserve">六、乙方应当在施工现场采取维护安全、防范危险、预防火灾等措施，施工现场对毗邻的建筑、构筑物和特殊作业环境可能造成损害的，乙方应当采取措施加以保护。</w:t>
      </w:r>
      <w:r/>
    </w:p>
    <w:p>
      <w:pPr>
        <w:pStyle w:val="860"/>
        <w:ind w:firstLine="480"/>
        <w:spacing w:line="440" w:lineRule="exact"/>
      </w:pPr>
      <w:r>
        <w:rPr>
          <w:rFonts w:hint="eastAsia" w:ascii="宋体" w:hAnsi="宋体"/>
          <w:sz w:val="24"/>
          <w:szCs w:val="24"/>
        </w:rPr>
        <w:t xml:space="preserve">七、</w:t>
      </w:r>
      <w:r>
        <w:rPr>
          <w:rFonts w:hint="eastAsia" w:ascii="宋体" w:hAnsi="宋体"/>
          <w:b/>
          <w:sz w:val="24"/>
          <w:szCs w:val="24"/>
        </w:rPr>
        <w:t xml:space="preserve">严格动火程序：乙方因施工需动用明火、电焊及氧焊等，须事先到甲方动力科及甲方保卫处办理动火审批手续，按相关规定要求并采取防范措施、符合作业规范后方能实施。</w:t>
      </w:r>
      <w:r/>
    </w:p>
    <w:p>
      <w:pPr>
        <w:pStyle w:val="860"/>
        <w:ind w:firstLine="480"/>
        <w:spacing w:line="440" w:lineRule="exact"/>
        <w:rPr>
          <w:rFonts w:hint="eastAsia" w:ascii="宋体" w:hAnsi="宋体"/>
          <w:sz w:val="24"/>
          <w:szCs w:val="24"/>
        </w:rPr>
      </w:pPr>
      <w:r>
        <w:rPr>
          <w:rFonts w:hint="eastAsia" w:ascii="宋体" w:hAnsi="宋体"/>
          <w:sz w:val="24"/>
          <w:szCs w:val="24"/>
        </w:rPr>
        <w:t xml:space="preserve">八、乙方应加强对甲方提供的临时住所的安全管理，加强对民工的管理。乙方应将在甲方施工的所有工作人员名单上报到甲方动力科并在保卫处备案。</w:t>
      </w:r>
      <w:r/>
    </w:p>
    <w:p>
      <w:pPr>
        <w:pStyle w:val="860"/>
        <w:ind w:firstLine="480"/>
        <w:spacing w:line="440" w:lineRule="exact"/>
        <w:rPr>
          <w:rFonts w:hint="eastAsia" w:ascii="宋体" w:hAnsi="宋体"/>
          <w:sz w:val="24"/>
          <w:szCs w:val="24"/>
        </w:rPr>
      </w:pPr>
      <w:r>
        <w:rPr>
          <w:rFonts w:hint="eastAsia" w:ascii="宋体" w:hAnsi="宋体"/>
          <w:sz w:val="24"/>
          <w:szCs w:val="24"/>
        </w:rPr>
        <w:t xml:space="preserve">九、乙方因违反上述规定造成事故及损失的，由乙方负全部责任，并承担经济赔偿责任，对屡教不改的施工单位，甲方有权终止施工合同。</w:t>
      </w:r>
      <w:r/>
    </w:p>
    <w:p>
      <w:pPr>
        <w:pStyle w:val="860"/>
        <w:ind w:firstLine="480"/>
        <w:spacing w:line="440" w:lineRule="exact"/>
        <w:rPr>
          <w:rFonts w:hint="eastAsia" w:ascii="宋体" w:hAnsi="宋体"/>
          <w:sz w:val="24"/>
          <w:szCs w:val="24"/>
        </w:rPr>
      </w:pPr>
      <w:r>
        <w:rPr>
          <w:rFonts w:hint="eastAsia" w:ascii="宋体" w:hAnsi="宋体"/>
          <w:sz w:val="24"/>
          <w:szCs w:val="24"/>
        </w:rPr>
        <w:t xml:space="preserve">本责任书自双方签字之日起生效，甲方对本责任书有最终解释权。</w:t>
      </w:r>
      <w:r/>
    </w:p>
    <w:p>
      <w:pPr>
        <w:pStyle w:val="860"/>
        <w:ind w:firstLine="480"/>
        <w:spacing w:line="440" w:lineRule="exact"/>
        <w:rPr>
          <w:rFonts w:hint="eastAsia" w:ascii="宋体" w:hAnsi="宋体"/>
          <w:sz w:val="24"/>
          <w:szCs w:val="24"/>
        </w:rPr>
      </w:pPr>
      <w:r>
        <w:rPr>
          <w:rFonts w:hint="eastAsia" w:ascii="宋体" w:hAnsi="宋体"/>
          <w:sz w:val="24"/>
          <w:szCs w:val="24"/>
        </w:rPr>
      </w:r>
      <w:r/>
    </w:p>
    <w:p>
      <w:pPr>
        <w:pStyle w:val="860"/>
        <w:ind w:firstLine="6360"/>
        <w:spacing w:line="440" w:lineRule="exact"/>
        <w:rPr>
          <w:rFonts w:hint="eastAsia" w:ascii="宋体" w:hAnsi="宋体"/>
          <w:sz w:val="24"/>
          <w:szCs w:val="24"/>
        </w:rPr>
      </w:pPr>
      <w:r>
        <w:rPr>
          <w:rFonts w:hint="eastAsia" w:ascii="宋体" w:hAnsi="宋体"/>
          <w:sz w:val="24"/>
          <w:szCs w:val="24"/>
        </w:rPr>
        <w:t xml:space="preserve">法人代表：</w:t>
      </w:r>
      <w:r/>
    </w:p>
    <w:p>
      <w:pPr>
        <w:pStyle w:val="860"/>
        <w:ind w:firstLine="480"/>
        <w:spacing w:line="440" w:lineRule="exact"/>
        <w:rPr>
          <w:rFonts w:hint="eastAsia" w:ascii="宋体" w:hAnsi="宋体"/>
          <w:sz w:val="24"/>
          <w:szCs w:val="24"/>
        </w:rPr>
      </w:pPr>
      <w:r>
        <w:rPr>
          <w:rFonts w:hint="eastAsia" w:ascii="宋体" w:hAnsi="宋体"/>
          <w:sz w:val="24"/>
          <w:szCs w:val="24"/>
        </w:rPr>
      </w:r>
      <w:r/>
    </w:p>
    <w:p>
      <w:pPr>
        <w:pStyle w:val="860"/>
        <w:ind w:firstLine="5760"/>
        <w:spacing w:line="440" w:lineRule="exact"/>
        <w:rPr>
          <w:rFonts w:hint="eastAsia" w:ascii="宋体" w:hAnsi="宋体"/>
          <w:sz w:val="24"/>
          <w:szCs w:val="24"/>
        </w:rPr>
      </w:pPr>
      <w:r>
        <w:rPr>
          <w:rFonts w:hint="eastAsia" w:ascii="宋体" w:hAnsi="宋体"/>
          <w:sz w:val="24"/>
          <w:szCs w:val="24"/>
        </w:rPr>
        <w:t xml:space="preserve">二〇二X年   月   日</w:t>
      </w:r>
      <w:r/>
    </w:p>
    <w:p>
      <w:pPr>
        <w:pStyle w:val="860"/>
        <w:jc w:val="center"/>
        <w:spacing w:before="120" w:after="120" w:line="0" w:lineRule="atLeast"/>
        <w:rPr>
          <w:rFonts w:hint="eastAsia" w:ascii="方正小标宋简体" w:hAnsi="方正小标宋简体" w:eastAsia="方正小标宋简体" w:cs="方正小标宋简体"/>
          <w:sz w:val="36"/>
          <w:szCs w:val="36"/>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sz w:val="36"/>
          <w:szCs w:val="36"/>
        </w:rPr>
        <w:t xml:space="preserve">第</w:t>
      </w:r>
      <w:bookmarkEnd w:id="189"/>
      <w:r>
        <w:rPr>
          <w:rFonts w:hint="eastAsia" w:ascii="方正小标宋简体" w:hAnsi="方正小标宋简体" w:eastAsia="方正小标宋简体" w:cs="方正小标宋简体"/>
          <w:sz w:val="36"/>
          <w:szCs w:val="36"/>
        </w:rPr>
        <w:t xml:space="preserve">四章  采购需求</w:t>
      </w:r>
      <w:bookmarkEnd w:id="190"/>
      <w:r/>
      <w:bookmarkEnd w:id="191"/>
      <w:r/>
      <w:bookmarkEnd w:id="192"/>
      <w:r>
        <w:rPr>
          <w:rFonts w:hint="eastAsia" w:ascii="方正小标宋简体" w:hAnsi="方正小标宋简体" w:eastAsia="方正小标宋简体" w:cs="方正小标宋简体"/>
          <w:sz w:val="36"/>
          <w:szCs w:val="36"/>
        </w:rPr>
      </w:r>
      <w:r/>
    </w:p>
    <w:p>
      <w:pPr>
        <w:pStyle w:val="860"/>
        <w:ind w:firstLine="480"/>
        <w:spacing w:line="264" w:lineRule="auto"/>
        <w:rPr>
          <w:rFonts w:hint="eastAsia" w:ascii="黑体" w:hAnsi="黑体" w:eastAsia="黑体" w:cs="黑体"/>
          <w:sz w:val="24"/>
          <w:szCs w:val="24"/>
        </w:rPr>
      </w:pPr>
      <w:r/>
      <w:bookmarkStart w:id="195" w:name="_Toc26554093"/>
      <w:r/>
      <w:bookmarkStart w:id="196" w:name="_Toc49090575"/>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rPr>
          <w:rFonts w:hint="eastAsia" w:ascii="黑体" w:hAnsi="黑体" w:eastAsia="黑体" w:cs="黑体"/>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p>
    <w:p>
      <w:pPr>
        <w:pStyle w:val="860"/>
        <w:ind w:firstLine="480"/>
        <w:spacing w:line="264" w:lineRule="auto"/>
        <w:rPr>
          <w:rFonts w:hint="eastAsia" w:ascii="宋体" w:hAnsi="宋体"/>
          <w:sz w:val="24"/>
          <w:szCs w:val="24"/>
        </w:rPr>
      </w:pPr>
      <w:r>
        <w:rPr>
          <w:rFonts w:hint="eastAsia" w:ascii="宋体" w:hAnsi="宋体"/>
          <w:sz w:val="24"/>
          <w:szCs w:val="24"/>
        </w:rPr>
        <w:t xml:space="preserve">南京鼓楼医院一号楼三台电梯设备包含旧电梯拆除、办理报废手续、回收（回收给医院的费用体现在总费用报价中）、电梯井道整改、电梯机房钢梁浇筑、防水台阶制作、机房孔洞剔凿、厅门出入口整改及恢复等及新电梯制作、运输、现场安装调试。向政府相关部门报验并承担相关费用，直至甲方所在地质量监督部门验收合格，获得质量监督部门发给的使用许可证，交付采购人使用。本次采购的垂直电梯，均要求为未使用过的全新产品。</w:t>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或：遵循国家、行业及地方现行的规范和标准。</w:t>
      </w:r>
      <w:r/>
    </w:p>
    <w:p>
      <w:pPr>
        <w:pStyle w:val="860"/>
        <w:ind w:firstLine="480"/>
        <w:spacing w:line="264" w:lineRule="auto"/>
        <w:rPr>
          <w:rFonts w:hint="eastAsia" w:ascii="宋体" w:hAnsi="宋体" w:cs="宋体"/>
          <w:bCs/>
          <w:sz w:val="24"/>
          <w:szCs w:val="24"/>
        </w:rPr>
        <w:outlineLvl w:val="1"/>
      </w:pPr>
      <w:r>
        <w:rPr>
          <w:rFonts w:hint="eastAsia" w:ascii="黑体" w:hAnsi="黑体" w:eastAsia="黑体" w:cs="黑体"/>
          <w:sz w:val="24"/>
          <w:szCs w:val="24"/>
        </w:rPr>
        <w:t xml:space="preserve">三、项目清单</w:t>
      </w:r>
      <w:r>
        <w:rPr>
          <w:rFonts w:hint="eastAsia" w:ascii="宋体" w:hAnsi="宋体" w:cs="宋体"/>
          <w:bCs/>
          <w:sz w:val="24"/>
          <w:szCs w:val="24"/>
        </w:rPr>
      </w:r>
      <w:r/>
    </w:p>
    <w:tbl>
      <w:tblPr>
        <w:tblW w:w="4996" w:type="pct"/>
        <w:tblInd w:w="32"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1"/>
        <w:gridCol w:w="1945"/>
        <w:gridCol w:w="726"/>
        <w:gridCol w:w="693"/>
        <w:gridCol w:w="1053"/>
        <w:gridCol w:w="1192"/>
        <w:gridCol w:w="1028"/>
        <w:gridCol w:w="1196"/>
        <w:gridCol w:w="1270"/>
      </w:tblGrid>
      <w:tr>
        <w:trPr>
          <w:trHeight w:val="470"/>
        </w:trPr>
        <w:tc>
          <w:tcPr>
            <w:tcW w:w="33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W w:w="99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W w:w="372"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W w:w="355"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W w:w="540"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p>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（元）</w:t>
            </w:r>
            <w:r/>
          </w:p>
        </w:tc>
        <w:tc>
          <w:tcPr>
            <w:tcW w:w="611"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W w:w="52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p>
        </w:tc>
        <w:tc>
          <w:tcPr>
            <w:tcW w:w="613"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c>
          <w:tcPr>
            <w:tcW w:w="652"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t xml:space="preserve">政府强制采购节能产品</w:t>
            </w:r>
            <w:r/>
          </w:p>
        </w:tc>
      </w:tr>
      <w:tr>
        <w:trPr>
          <w:trHeight w:val="414"/>
        </w:trPr>
        <w:tc>
          <w:tcPr>
            <w:tcW w:w="33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997" w:type="pct"/>
            <w:vAlign w:val="center"/>
            <w:textDirection w:val="lrTb"/>
            <w:noWrap w:val="false"/>
          </w:tcPr>
          <w:p>
            <w:pPr>
              <w:pStyle w:val="860"/>
              <w:spacing w:line="264" w:lineRule="auto"/>
              <w:rPr>
                <w:rFonts w:hint="eastAsia" w:ascii="宋体" w:hAnsi="宋体" w:cs="宋体"/>
                <w:bCs/>
                <w:sz w:val="24"/>
                <w:szCs w:val="24"/>
              </w:rPr>
            </w:pPr>
            <w:r>
              <w:rPr>
                <w:rFonts w:hint="eastAsia" w:ascii="宋体" w:hAnsi="宋体" w:cs="宋体"/>
                <w:bCs/>
                <w:sz w:val="24"/>
                <w:szCs w:val="24"/>
              </w:rPr>
              <w:t xml:space="preserve">客用电梯</w:t>
            </w:r>
            <w:r/>
          </w:p>
        </w:tc>
        <w:tc>
          <w:tcPr>
            <w:tcW w:w="372"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r>
            <w:r/>
          </w:p>
        </w:tc>
        <w:tc>
          <w:tcPr>
            <w:tcW w:w="355"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部</w:t>
            </w:r>
            <w:r/>
          </w:p>
        </w:tc>
        <w:tc>
          <w:tcPr>
            <w:tcW w:w="540"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733333</w:t>
            </w:r>
            <w:r>
              <w:rPr>
                <w:rFonts w:hint="eastAsia" w:ascii="宋体" w:hAnsi="宋体" w:cs="宋体"/>
                <w:bCs/>
                <w:sz w:val="24"/>
                <w:szCs w:val="24"/>
              </w:rPr>
            </w:r>
            <w:r/>
          </w:p>
        </w:tc>
        <w:tc>
          <w:tcPr>
            <w:tcW w:w="611"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核心产品</w:t>
            </w:r>
            <w:r/>
          </w:p>
        </w:tc>
        <w:tc>
          <w:tcPr>
            <w:tcW w:w="52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613"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652"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p>
        </w:tc>
      </w:tr>
    </w:tbl>
    <w:p>
      <w:pPr>
        <w:pStyle w:val="860"/>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60"/>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p>
      <w:pPr>
        <w:pStyle w:val="860"/>
        <w:ind w:firstLine="480"/>
        <w:spacing w:line="264" w:lineRule="auto"/>
        <w:rPr>
          <w:rFonts w:hint="eastAsia"/>
        </w:rPr>
      </w:pPr>
      <w:r>
        <w:rPr>
          <w:rFonts w:hint="eastAsia" w:ascii="宋体" w:hAnsi="宋体" w:cs="宋体"/>
          <w:bCs/>
          <w:sz w:val="24"/>
          <w:szCs w:val="24"/>
        </w:rPr>
        <w:t xml:space="preserve">1.产品技术指标</w:t>
      </w:r>
      <w:r>
        <w:rPr>
          <w:rFonts w:hint="eastAsia"/>
        </w:rPr>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035"/>
        <w:gridCol w:w="1414"/>
        <w:gridCol w:w="1243"/>
        <w:gridCol w:w="78"/>
        <w:gridCol w:w="928"/>
        <w:gridCol w:w="1391"/>
        <w:gridCol w:w="3873"/>
      </w:tblGrid>
      <w:tr>
        <w:trPr>
          <w:trHeight w:val="312"/>
          <w:tblHeader/>
        </w:trPr>
        <w:tc>
          <w:tcPr>
            <w:tcBorders>
              <w:top w:val="single" w:color="000000" w:sz="6" w:space="0"/>
              <w:left w:val="single" w:color="000000" w:sz="6" w:space="0"/>
              <w:bottom w:val="single" w:color="000000" w:sz="6"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序号</w:t>
            </w:r>
            <w:r/>
          </w:p>
        </w:tc>
        <w:tc>
          <w:tcPr>
            <w:tcBorders>
              <w:top w:val="single" w:color="000000" w:sz="6" w:space="0"/>
              <w:left w:val="single" w:color="000000" w:sz="6" w:space="0"/>
              <w:bottom w:val="single" w:color="000000" w:sz="6" w:space="0"/>
              <w:right w:val="single" w:color="000000" w:sz="6" w:space="0"/>
            </w:tcBorders>
            <w:tcW w:w="70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参数名称</w:t>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不低于以下要求</w:t>
            </w:r>
            <w:r/>
          </w:p>
        </w:tc>
      </w:tr>
      <w:tr>
        <w:trPr>
          <w:cantSplit/>
          <w:trHeight w:val="312"/>
          <w:tblHeader/>
        </w:trPr>
        <w:tc>
          <w:tcPr>
            <w:tcBorders>
              <w:top w:val="single" w:color="000000" w:sz="6" w:space="0"/>
              <w:left w:val="single" w:color="000000" w:sz="6" w:space="0"/>
              <w:bottom w:val="single" w:color="000000" w:sz="6"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3.1.0</w:t>
            </w:r>
            <w:r/>
          </w:p>
        </w:tc>
        <w:tc>
          <w:tcPr>
            <w:tcBorders>
              <w:top w:val="single" w:color="000000" w:sz="6" w:space="0"/>
              <w:left w:val="single" w:color="000000" w:sz="6" w:space="0"/>
              <w:right w:val="single" w:color="000000" w:sz="6" w:space="0"/>
            </w:tcBorders>
            <w:tcW w:w="709" w:type="pct"/>
            <w:vAlign w:val="center"/>
            <w:vMerge w:val="restart"/>
            <w:textDirection w:val="lrTb"/>
            <w:noWrap w:val="false"/>
          </w:tcPr>
          <w:p>
            <w:pPr>
              <w:pStyle w:val="860"/>
              <w:jc w:val="center"/>
              <w:rPr>
                <w:rFonts w:hint="eastAsia" w:ascii="宋体" w:hAnsi="宋体"/>
                <w:szCs w:val="21"/>
              </w:rPr>
            </w:pPr>
            <w:r>
              <w:rPr>
                <w:rFonts w:hint="eastAsia" w:ascii="宋体" w:hAnsi="宋体"/>
                <w:szCs w:val="21"/>
              </w:rPr>
              <w:t xml:space="preserve">建筑尺寸</w:t>
            </w:r>
            <w:r/>
          </w:p>
        </w:tc>
        <w:tc>
          <w:tcPr>
            <w:gridSpan w:val="4"/>
            <w:tcBorders>
              <w:top w:val="single" w:color="000000" w:sz="6" w:space="0"/>
              <w:left w:val="single" w:color="000000" w:sz="6" w:space="0"/>
              <w:bottom w:val="single" w:color="000000" w:sz="6" w:space="0"/>
              <w:right w:val="single" w:color="000000" w:sz="6" w:space="0"/>
            </w:tcBorders>
            <w:tcW w:w="1827"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电梯层数</w:t>
            </w:r>
            <w:r/>
          </w:p>
        </w:tc>
        <w:tc>
          <w:tcPr>
            <w:tcBorders>
              <w:top w:val="single" w:color="000000" w:sz="6"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23层</w:t>
            </w:r>
            <w:r/>
          </w:p>
        </w:tc>
      </w:tr>
      <w:tr>
        <w:trPr>
          <w:cantSplit/>
          <w:trHeight w:val="312"/>
          <w:tblHeader/>
        </w:trPr>
        <w:tc>
          <w:tcPr>
            <w:tcBorders>
              <w:top w:val="single" w:color="000000" w:sz="6" w:space="0"/>
              <w:left w:val="single" w:color="000000" w:sz="6" w:space="0"/>
              <w:bottom w:val="single" w:color="000000" w:sz="4"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3.1.1</w:t>
            </w:r>
            <w:r/>
          </w:p>
        </w:tc>
        <w:tc>
          <w:tcPr>
            <w:tcBorders>
              <w:left w:val="single" w:color="000000" w:sz="6" w:space="0"/>
              <w:right w:val="single" w:color="000000" w:sz="6" w:space="0"/>
            </w:tcBorders>
            <w:tcW w:w="709" w:type="pct"/>
            <w:vAlign w:val="center"/>
            <w:vMerge w:val="continue"/>
            <w:textDirection w:val="lrTb"/>
            <w:noWrap w:val="false"/>
          </w:tcPr>
          <w:p>
            <w:pPr>
              <w:pStyle w:val="860"/>
              <w:jc w:val="center"/>
              <w:widowControl/>
              <w:rPr>
                <w:rFonts w:hint="eastAsia" w:ascii="宋体" w:hAnsi="宋体"/>
                <w:szCs w:val="21"/>
              </w:rPr>
            </w:pPr>
            <w:r>
              <w:rPr>
                <w:rFonts w:hint="eastAsia" w:ascii="宋体" w:hAnsi="宋体"/>
                <w:szCs w:val="21"/>
              </w:rPr>
            </w:r>
            <w:r/>
          </w:p>
        </w:tc>
        <w:tc>
          <w:tcPr>
            <w:gridSpan w:val="4"/>
            <w:tcBorders>
              <w:top w:val="single" w:color="000000" w:sz="6" w:space="0"/>
              <w:left w:val="single" w:color="000000" w:sz="6" w:space="0"/>
              <w:bottom w:val="single" w:color="000000" w:sz="6" w:space="0"/>
              <w:right w:val="single" w:color="000000" w:sz="6" w:space="0"/>
            </w:tcBorders>
            <w:tcW w:w="1827"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井道尺寸（宽</w:t>
            </w:r>
            <w:r>
              <w:rPr>
                <w:rFonts w:ascii="宋体" w:hAnsi="宋体"/>
                <w:szCs w:val="21"/>
              </w:rPr>
              <w:t xml:space="preserve">*</w:t>
            </w:r>
            <w:r>
              <w:rPr>
                <w:rFonts w:hint="eastAsia" w:ascii="宋体" w:hAnsi="宋体"/>
                <w:szCs w:val="21"/>
              </w:rPr>
              <w:t xml:space="preserve">深</w:t>
            </w:r>
            <w:r>
              <w:rPr>
                <w:rFonts w:ascii="宋体" w:hAnsi="宋体"/>
                <w:szCs w:val="21"/>
              </w:rPr>
              <w:t xml:space="preserve">mm</w:t>
            </w:r>
            <w:r>
              <w:rPr>
                <w:rFonts w:hint="eastAsia" w:ascii="宋体" w:hAnsi="宋体"/>
                <w:szCs w:val="21"/>
              </w:rPr>
              <w:t xml:space="preserve">）</w:t>
            </w:r>
            <w:r/>
          </w:p>
        </w:tc>
        <w:tc>
          <w:tcPr>
            <w:tcBorders>
              <w:top w:val="single" w:color="000000" w:sz="6"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cs="宋体"/>
                <w:szCs w:val="24"/>
              </w:rPr>
              <w:t xml:space="preserve">2200*2165</w:t>
            </w:r>
            <w:r>
              <w:rPr>
                <w:rFonts w:hint="eastAsia" w:ascii="宋体" w:hAnsi="宋体"/>
                <w:szCs w:val="21"/>
              </w:rPr>
            </w:r>
            <w:r/>
          </w:p>
        </w:tc>
      </w:tr>
      <w:tr>
        <w:trPr>
          <w:cantSplit/>
          <w:trHeight w:val="312"/>
          <w:tblHeader/>
        </w:trPr>
        <w:tc>
          <w:tcPr>
            <w:tcBorders>
              <w:top w:val="single" w:color="000000" w:sz="4" w:space="0"/>
              <w:left w:val="single" w:color="000000" w:sz="6" w:space="0"/>
              <w:bottom w:val="single" w:color="000000" w:sz="4"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3.1.2</w:t>
            </w:r>
            <w:r/>
          </w:p>
        </w:tc>
        <w:tc>
          <w:tcPr>
            <w:tcBorders>
              <w:left w:val="single" w:color="000000" w:sz="6" w:space="0"/>
              <w:right w:val="single" w:color="000000" w:sz="6" w:space="0"/>
            </w:tcBorders>
            <w:tcW w:w="709" w:type="pct"/>
            <w:vAlign w:val="center"/>
            <w:vMerge w:val="continue"/>
            <w:textDirection w:val="lrTb"/>
            <w:noWrap w:val="false"/>
          </w:tcPr>
          <w:p>
            <w:pPr>
              <w:pStyle w:val="860"/>
              <w:jc w:val="center"/>
              <w:widowControl/>
              <w:rPr>
                <w:rFonts w:hint="eastAsia" w:ascii="宋体" w:hAnsi="宋体"/>
                <w:szCs w:val="21"/>
              </w:rPr>
            </w:pPr>
            <w:r>
              <w:rPr>
                <w:rFonts w:hint="eastAsia" w:ascii="宋体" w:hAnsi="宋体"/>
                <w:szCs w:val="21"/>
              </w:rPr>
            </w:r>
            <w:r/>
          </w:p>
        </w:tc>
        <w:tc>
          <w:tcPr>
            <w:gridSpan w:val="4"/>
            <w:tcBorders>
              <w:top w:val="single" w:color="000000" w:sz="6" w:space="0"/>
              <w:left w:val="single" w:color="000000" w:sz="6" w:space="0"/>
              <w:bottom w:val="single" w:color="000000" w:sz="4" w:space="0"/>
              <w:right w:val="single" w:color="000000" w:sz="6" w:space="0"/>
            </w:tcBorders>
            <w:tcW w:w="1827"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厅门尺寸（高</w:t>
            </w:r>
            <w:r>
              <w:rPr>
                <w:rFonts w:ascii="宋体" w:hAnsi="宋体"/>
                <w:szCs w:val="21"/>
              </w:rPr>
              <w:t xml:space="preserve">*</w:t>
            </w:r>
            <w:r>
              <w:rPr>
                <w:rFonts w:hint="eastAsia" w:ascii="宋体" w:hAnsi="宋体"/>
                <w:szCs w:val="21"/>
              </w:rPr>
              <w:t xml:space="preserve">宽</w:t>
            </w:r>
            <w:r>
              <w:rPr>
                <w:rFonts w:ascii="宋体" w:hAnsi="宋体"/>
                <w:szCs w:val="21"/>
              </w:rPr>
              <w:t xml:space="preserve">mm</w:t>
            </w:r>
            <w:r>
              <w:rPr>
                <w:rFonts w:hint="eastAsia" w:ascii="宋体" w:hAnsi="宋体"/>
                <w:szCs w:val="21"/>
              </w:rPr>
              <w:t xml:space="preserve">）</w:t>
            </w:r>
            <w:r/>
          </w:p>
        </w:tc>
        <w:tc>
          <w:tcPr>
            <w:tcBorders>
              <w:top w:val="single" w:color="000000" w:sz="6" w:space="0"/>
              <w:left w:val="single" w:color="000000" w:sz="6" w:space="0"/>
              <w:bottom w:val="single" w:color="000000" w:sz="4"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2100</w:t>
            </w:r>
            <w:r>
              <w:rPr>
                <w:rFonts w:hint="eastAsia" w:ascii="宋体" w:hAnsi="宋体" w:cs="宋体"/>
                <w:szCs w:val="24"/>
              </w:rPr>
              <w:t xml:space="preserve">*900</w:t>
            </w:r>
            <w:r>
              <w:rPr>
                <w:rFonts w:hint="eastAsia" w:ascii="宋体" w:hAnsi="宋体"/>
                <w:szCs w:val="21"/>
              </w:rPr>
            </w:r>
            <w:r/>
          </w:p>
        </w:tc>
      </w:tr>
      <w:tr>
        <w:trPr>
          <w:cantSplit/>
          <w:trHeight w:val="150"/>
          <w:tblHeader/>
        </w:trPr>
        <w:tc>
          <w:tcPr>
            <w:tcBorders>
              <w:top w:val="single" w:color="000000" w:sz="4" w:space="0"/>
              <w:left w:val="single" w:color="000000" w:sz="6" w:space="0"/>
              <w:bottom w:val="single" w:color="000000" w:sz="4"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3.1.3</w:t>
            </w:r>
            <w:r/>
          </w:p>
        </w:tc>
        <w:tc>
          <w:tcPr>
            <w:tcBorders>
              <w:left w:val="single" w:color="000000" w:sz="6" w:space="0"/>
              <w:right w:val="single" w:color="000000" w:sz="6" w:space="0"/>
            </w:tcBorders>
            <w:tcW w:w="709" w:type="pct"/>
            <w:vAlign w:val="center"/>
            <w:vMerge w:val="continue"/>
            <w:textDirection w:val="lrTb"/>
            <w:noWrap w:val="false"/>
          </w:tcPr>
          <w:p>
            <w:pPr>
              <w:pStyle w:val="860"/>
              <w:jc w:val="center"/>
              <w:widowControl/>
              <w:rPr>
                <w:rFonts w:hint="eastAsia" w:ascii="宋体" w:hAnsi="宋体"/>
                <w:szCs w:val="21"/>
              </w:rPr>
            </w:pPr>
            <w:r>
              <w:rPr>
                <w:rFonts w:hint="eastAsia" w:ascii="宋体" w:hAnsi="宋体"/>
                <w:szCs w:val="21"/>
              </w:rPr>
            </w:r>
            <w:r/>
          </w:p>
        </w:tc>
        <w:tc>
          <w:tcPr>
            <w:gridSpan w:val="4"/>
            <w:tcBorders>
              <w:top w:val="single" w:color="000000" w:sz="4" w:space="0"/>
              <w:left w:val="single" w:color="000000" w:sz="6" w:space="0"/>
              <w:bottom w:val="single" w:color="000000" w:sz="6" w:space="0"/>
              <w:right w:val="single" w:color="000000" w:sz="6" w:space="0"/>
            </w:tcBorders>
            <w:tcW w:w="1827" w:type="pct"/>
            <w:vAlign w:val="center"/>
            <w:textDirection w:val="lrTb"/>
            <w:noWrap w:val="false"/>
          </w:tcPr>
          <w:p>
            <w:pPr>
              <w:pStyle w:val="860"/>
              <w:jc w:val="left"/>
              <w:widowControl/>
              <w:rPr>
                <w:rFonts w:hint="eastAsia" w:ascii="宋体" w:hAnsi="宋体"/>
                <w:szCs w:val="21"/>
              </w:rPr>
            </w:pPr>
            <w:r>
              <w:rPr>
                <w:rFonts w:hint="eastAsia" w:ascii="宋体" w:hAnsi="宋体" w:cs="宋体"/>
                <w:bCs/>
                <w:szCs w:val="21"/>
                <w:lang w:val="zh-CN"/>
              </w:rPr>
              <w:t xml:space="preserve">★</w:t>
            </w:r>
            <w:r>
              <w:rPr>
                <w:rFonts w:hint="eastAsia" w:ascii="宋体" w:hAnsi="宋体"/>
                <w:szCs w:val="21"/>
              </w:rPr>
              <w:t xml:space="preserve">载重</w:t>
            </w:r>
            <w:r/>
          </w:p>
        </w:tc>
        <w:tc>
          <w:tcPr>
            <w:tcBorders>
              <w:top w:val="single" w:color="000000" w:sz="4"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不小于1000kg</w:t>
            </w:r>
            <w:r/>
          </w:p>
        </w:tc>
      </w:tr>
      <w:tr>
        <w:trPr>
          <w:cantSplit/>
          <w:trHeight w:val="312"/>
          <w:tblHeader/>
        </w:trPr>
        <w:tc>
          <w:tcPr>
            <w:tcBorders>
              <w:top w:val="single" w:color="000000" w:sz="4" w:space="0"/>
              <w:left w:val="single" w:color="000000" w:sz="6" w:space="0"/>
              <w:bottom w:val="single" w:color="000000" w:sz="4"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3.1.4</w:t>
            </w:r>
            <w:r/>
          </w:p>
        </w:tc>
        <w:tc>
          <w:tcPr>
            <w:tcBorders>
              <w:left w:val="single" w:color="000000" w:sz="6" w:space="0"/>
              <w:right w:val="single" w:color="000000" w:sz="6" w:space="0"/>
            </w:tcBorders>
            <w:tcW w:w="709" w:type="pct"/>
            <w:vAlign w:val="center"/>
            <w:vMerge w:val="continue"/>
            <w:textDirection w:val="lrTb"/>
            <w:noWrap w:val="false"/>
          </w:tcPr>
          <w:p>
            <w:pPr>
              <w:pStyle w:val="860"/>
              <w:jc w:val="center"/>
              <w:widowControl/>
              <w:rPr>
                <w:rFonts w:hint="eastAsia" w:ascii="宋体" w:hAnsi="宋体"/>
                <w:szCs w:val="21"/>
              </w:rPr>
            </w:pPr>
            <w:r>
              <w:rPr>
                <w:rFonts w:hint="eastAsia" w:ascii="宋体" w:hAnsi="宋体"/>
                <w:szCs w:val="21"/>
              </w:rPr>
            </w:r>
            <w:r/>
          </w:p>
        </w:tc>
        <w:tc>
          <w:tcPr>
            <w:gridSpan w:val="4"/>
            <w:tcBorders>
              <w:top w:val="single" w:color="000000" w:sz="6" w:space="0"/>
              <w:left w:val="single" w:color="000000" w:sz="6" w:space="0"/>
              <w:bottom w:val="single" w:color="000000" w:sz="6" w:space="0"/>
              <w:right w:val="single" w:color="000000" w:sz="6" w:space="0"/>
            </w:tcBorders>
            <w:tcW w:w="1827"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顶层高度（</w:t>
            </w:r>
            <w:r>
              <w:rPr>
                <w:rFonts w:ascii="宋体" w:hAnsi="宋体"/>
                <w:szCs w:val="21"/>
              </w:rPr>
              <w:t xml:space="preserve">mm</w:t>
            </w:r>
            <w:r>
              <w:rPr>
                <w:rFonts w:hint="eastAsia" w:ascii="宋体" w:hAnsi="宋体"/>
                <w:szCs w:val="21"/>
              </w:rPr>
              <w:t xml:space="preserve">）</w:t>
            </w:r>
            <w:r/>
          </w:p>
        </w:tc>
        <w:tc>
          <w:tcPr>
            <w:tcBorders>
              <w:top w:val="single" w:color="000000" w:sz="6"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5300</w:t>
            </w:r>
            <w:r/>
          </w:p>
        </w:tc>
      </w:tr>
      <w:tr>
        <w:trPr>
          <w:cantSplit/>
          <w:trHeight w:val="312"/>
          <w:tblHeader/>
        </w:trPr>
        <w:tc>
          <w:tcPr>
            <w:tcBorders>
              <w:top w:val="single" w:color="000000" w:sz="4" w:space="0"/>
              <w:left w:val="single" w:color="000000" w:sz="6" w:space="0"/>
              <w:bottom w:val="single" w:color="000000" w:sz="4"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3.1.5</w:t>
            </w:r>
            <w:r/>
          </w:p>
        </w:tc>
        <w:tc>
          <w:tcPr>
            <w:tcBorders>
              <w:left w:val="single" w:color="000000" w:sz="6" w:space="0"/>
              <w:right w:val="single" w:color="000000" w:sz="6" w:space="0"/>
            </w:tcBorders>
            <w:tcW w:w="709" w:type="pct"/>
            <w:vAlign w:val="center"/>
            <w:vMerge w:val="continue"/>
            <w:textDirection w:val="lrTb"/>
            <w:noWrap w:val="false"/>
          </w:tcPr>
          <w:p>
            <w:pPr>
              <w:pStyle w:val="860"/>
              <w:jc w:val="center"/>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62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机房</w:t>
            </w:r>
            <w:r/>
          </w:p>
        </w:tc>
        <w:tc>
          <w:tcPr>
            <w:gridSpan w:val="3"/>
            <w:tcBorders>
              <w:top w:val="single" w:color="000000" w:sz="6" w:space="0"/>
              <w:left w:val="single" w:color="000000" w:sz="6" w:space="0"/>
              <w:bottom w:val="single" w:color="000000" w:sz="6" w:space="0"/>
              <w:right w:val="single" w:color="000000" w:sz="6" w:space="0"/>
            </w:tcBorders>
            <w:tcW w:w="1203"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位置</w:t>
            </w:r>
            <w:r/>
          </w:p>
        </w:tc>
        <w:tc>
          <w:tcPr>
            <w:tcBorders>
              <w:top w:val="single" w:color="000000" w:sz="6"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有机房客梯</w:t>
            </w:r>
            <w:r/>
          </w:p>
        </w:tc>
      </w:tr>
      <w:tr>
        <w:trPr>
          <w:cantSplit/>
          <w:trHeight w:val="312"/>
          <w:tblHeader/>
        </w:trPr>
        <w:tc>
          <w:tcPr>
            <w:tcBorders>
              <w:top w:val="single" w:color="000000" w:sz="4" w:space="0"/>
              <w:left w:val="single" w:color="000000" w:sz="6" w:space="0"/>
              <w:bottom w:val="single" w:color="000000" w:sz="4"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3.1.6</w:t>
            </w:r>
            <w:r/>
          </w:p>
        </w:tc>
        <w:tc>
          <w:tcPr>
            <w:tcBorders>
              <w:left w:val="single" w:color="000000" w:sz="6" w:space="0"/>
              <w:right w:val="single" w:color="000000" w:sz="6" w:space="0"/>
            </w:tcBorders>
            <w:tcW w:w="709" w:type="pct"/>
            <w:vAlign w:val="center"/>
            <w:vMerge w:val="continue"/>
            <w:textDirection w:val="lrTb"/>
            <w:noWrap w:val="false"/>
          </w:tcPr>
          <w:p>
            <w:pPr>
              <w:pStyle w:val="860"/>
              <w:jc w:val="center"/>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62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机房</w:t>
            </w:r>
            <w:r/>
          </w:p>
        </w:tc>
        <w:tc>
          <w:tcPr>
            <w:gridSpan w:val="3"/>
            <w:tcBorders>
              <w:top w:val="single" w:color="000000" w:sz="6" w:space="0"/>
              <w:left w:val="single" w:color="000000" w:sz="6" w:space="0"/>
              <w:bottom w:val="single" w:color="000000" w:sz="6" w:space="0"/>
              <w:right w:val="single" w:color="000000" w:sz="6" w:space="0"/>
            </w:tcBorders>
            <w:tcW w:w="1203"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尺寸（长</w:t>
            </w:r>
            <w:r>
              <w:rPr>
                <w:rFonts w:ascii="宋体" w:hAnsi="宋体"/>
                <w:szCs w:val="21"/>
              </w:rPr>
              <w:t xml:space="preserve">*</w:t>
            </w:r>
            <w:r>
              <w:rPr>
                <w:rFonts w:hint="eastAsia" w:ascii="宋体" w:hAnsi="宋体"/>
                <w:szCs w:val="21"/>
              </w:rPr>
              <w:t xml:space="preserve">宽</w:t>
            </w:r>
            <w:r>
              <w:rPr>
                <w:rFonts w:ascii="宋体" w:hAnsi="宋体"/>
                <w:szCs w:val="21"/>
              </w:rPr>
              <w:t xml:space="preserve">*</w:t>
            </w:r>
            <w:r>
              <w:rPr>
                <w:rFonts w:hint="eastAsia" w:ascii="宋体" w:hAnsi="宋体"/>
                <w:szCs w:val="21"/>
              </w:rPr>
              <w:t xml:space="preserve">高</w:t>
            </w:r>
            <w:r>
              <w:rPr>
                <w:rFonts w:ascii="宋体" w:hAnsi="宋体"/>
                <w:szCs w:val="21"/>
              </w:rPr>
              <w:t xml:space="preserve">mm</w:t>
            </w:r>
            <w:r>
              <w:rPr>
                <w:rFonts w:hint="eastAsia" w:ascii="宋体" w:hAnsi="宋体"/>
                <w:szCs w:val="21"/>
              </w:rPr>
              <w:t xml:space="preserve">）</w:t>
            </w:r>
            <w:r/>
          </w:p>
        </w:tc>
        <w:tc>
          <w:tcPr>
            <w:tcBorders>
              <w:top w:val="single" w:color="000000" w:sz="6"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同井道</w:t>
            </w:r>
            <w:r/>
          </w:p>
        </w:tc>
      </w:tr>
      <w:tr>
        <w:trPr>
          <w:cantSplit/>
          <w:trHeight w:val="312"/>
          <w:tblHeader/>
        </w:trPr>
        <w:tc>
          <w:tcPr>
            <w:tcBorders>
              <w:top w:val="single" w:color="000000" w:sz="4" w:space="0"/>
              <w:left w:val="single" w:color="000000" w:sz="6" w:space="0"/>
              <w:bottom w:val="single" w:color="000000" w:sz="6"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3.1.7</w:t>
            </w:r>
            <w:r/>
          </w:p>
        </w:tc>
        <w:tc>
          <w:tcPr>
            <w:tcBorders>
              <w:left w:val="single" w:color="000000" w:sz="6" w:space="0"/>
              <w:bottom w:val="single" w:color="000000" w:sz="6" w:space="0"/>
              <w:right w:val="single" w:color="000000" w:sz="6" w:space="0"/>
            </w:tcBorders>
            <w:tcW w:w="709" w:type="pct"/>
            <w:vAlign w:val="center"/>
            <w:vMerge w:val="continue"/>
            <w:textDirection w:val="lrTb"/>
            <w:noWrap w:val="false"/>
          </w:tcPr>
          <w:p>
            <w:pPr>
              <w:pStyle w:val="860"/>
              <w:jc w:val="center"/>
              <w:widowControl/>
              <w:rPr>
                <w:rFonts w:hint="eastAsia" w:ascii="宋体" w:hAnsi="宋体"/>
                <w:szCs w:val="21"/>
              </w:rPr>
            </w:pPr>
            <w:r>
              <w:rPr>
                <w:rFonts w:hint="eastAsia" w:ascii="宋体" w:hAnsi="宋体"/>
                <w:szCs w:val="21"/>
              </w:rPr>
            </w:r>
            <w:r/>
          </w:p>
        </w:tc>
        <w:tc>
          <w:tcPr>
            <w:gridSpan w:val="4"/>
            <w:tcBorders>
              <w:top w:val="single" w:color="000000" w:sz="6" w:space="0"/>
              <w:left w:val="single" w:color="000000" w:sz="6" w:space="0"/>
              <w:bottom w:val="single" w:color="000000" w:sz="6" w:space="0"/>
              <w:right w:val="single" w:color="000000" w:sz="6" w:space="0"/>
            </w:tcBorders>
            <w:tcW w:w="1827"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底坑深度（</w:t>
            </w:r>
            <w:r>
              <w:rPr>
                <w:rFonts w:ascii="宋体" w:hAnsi="宋体"/>
                <w:szCs w:val="21"/>
              </w:rPr>
              <w:t xml:space="preserve">mm</w:t>
            </w:r>
            <w:r>
              <w:rPr>
                <w:rFonts w:hint="eastAsia" w:ascii="宋体" w:hAnsi="宋体"/>
                <w:szCs w:val="21"/>
              </w:rPr>
              <w:t xml:space="preserve">）</w:t>
            </w:r>
            <w:r/>
          </w:p>
        </w:tc>
        <w:tc>
          <w:tcPr>
            <w:tcBorders>
              <w:top w:val="single" w:color="000000" w:sz="6"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2550</w:t>
            </w:r>
            <w:r/>
          </w:p>
        </w:tc>
      </w:tr>
      <w:tr>
        <w:trPr>
          <w:cantSplit/>
          <w:trHeight w:val="312"/>
          <w:tblHeader/>
        </w:trPr>
        <w:tc>
          <w:tcPr>
            <w:tcBorders>
              <w:top w:val="single" w:color="000000" w:sz="6" w:space="0"/>
              <w:left w:val="single" w:color="000000" w:sz="6" w:space="0"/>
              <w:bottom w:val="single" w:color="000000" w:sz="4" w:space="0"/>
              <w:right w:val="single" w:color="000000" w:sz="6" w:space="0"/>
            </w:tcBorders>
            <w:tcW w:w="519" w:type="pct"/>
            <w:vAlign w:val="top"/>
            <w:textDirection w:val="lrTb"/>
            <w:noWrap w:val="false"/>
          </w:tcPr>
          <w:p>
            <w:pPr>
              <w:pStyle w:val="860"/>
              <w:jc w:val="center"/>
              <w:widowControl/>
              <w:rPr>
                <w:rFonts w:hint="eastAsia" w:ascii="宋体" w:hAnsi="宋体"/>
                <w:szCs w:val="21"/>
              </w:rPr>
            </w:pPr>
            <w:r>
              <w:rPr>
                <w:rFonts w:hint="eastAsia" w:ascii="宋体" w:hAnsi="宋体"/>
                <w:szCs w:val="21"/>
              </w:rPr>
              <w:t xml:space="preserve">3.1.8</w:t>
            </w:r>
            <w:r/>
          </w:p>
        </w:tc>
        <w:tc>
          <w:tcPr>
            <w:tcBorders>
              <w:top w:val="single" w:color="000000" w:sz="6" w:space="0"/>
              <w:left w:val="single" w:color="000000" w:sz="6" w:space="0"/>
              <w:right w:val="single" w:color="000000" w:sz="6" w:space="0"/>
            </w:tcBorders>
            <w:tcW w:w="709" w:type="pct"/>
            <w:vAlign w:val="center"/>
            <w:vMerge w:val="restart"/>
            <w:textDirection w:val="lrTb"/>
            <w:noWrap w:val="false"/>
          </w:tcPr>
          <w:p>
            <w:pPr>
              <w:pStyle w:val="860"/>
              <w:jc w:val="center"/>
              <w:widowControl/>
              <w:rPr>
                <w:rFonts w:hint="eastAsia" w:ascii="宋体" w:hAnsi="宋体"/>
                <w:szCs w:val="21"/>
              </w:rPr>
            </w:pPr>
            <w:r>
              <w:rPr>
                <w:rFonts w:hint="eastAsia" w:ascii="宋体" w:hAnsi="宋体"/>
                <w:szCs w:val="21"/>
              </w:rPr>
              <w:t xml:space="preserve">配置要求</w:t>
            </w:r>
            <w:r/>
          </w:p>
        </w:tc>
        <w:tc>
          <w:tcPr>
            <w:gridSpan w:val="4"/>
            <w:tcBorders>
              <w:top w:val="single" w:color="000000" w:sz="6" w:space="0"/>
              <w:left w:val="single" w:color="000000" w:sz="6" w:space="0"/>
              <w:bottom w:val="single" w:color="000000" w:sz="6" w:space="0"/>
              <w:right w:val="single" w:color="000000" w:sz="6" w:space="0"/>
            </w:tcBorders>
            <w:tcW w:w="1827"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驱动方式</w:t>
            </w:r>
            <w:r/>
          </w:p>
        </w:tc>
        <w:tc>
          <w:tcPr>
            <w:tcBorders>
              <w:top w:val="single" w:color="000000" w:sz="6"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变压变频驱动（</w:t>
            </w:r>
            <w:r>
              <w:rPr>
                <w:rFonts w:ascii="宋体" w:hAnsi="宋体"/>
                <w:szCs w:val="21"/>
              </w:rPr>
              <w:t xml:space="preserve">VVVF</w:t>
            </w:r>
            <w:r>
              <w:rPr>
                <w:rFonts w:hint="eastAsia" w:ascii="宋体" w:hAnsi="宋体"/>
                <w:szCs w:val="21"/>
              </w:rPr>
              <w:t xml:space="preserve">）</w:t>
            </w:r>
            <w:r/>
          </w:p>
        </w:tc>
      </w:tr>
      <w:tr>
        <w:trPr>
          <w:cantSplit/>
          <w:trHeight w:val="312"/>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center"/>
              <w:widowControl/>
              <w:rPr>
                <w:rFonts w:hint="eastAsia" w:ascii="宋体" w:hAnsi="宋体"/>
                <w:szCs w:val="21"/>
              </w:rPr>
            </w:pPr>
            <w:r>
              <w:rPr>
                <w:rFonts w:hint="eastAsia" w:ascii="宋体" w:hAnsi="宋体"/>
                <w:szCs w:val="21"/>
              </w:rPr>
              <w:t xml:space="preserve">3.1.9</w:t>
            </w:r>
            <w:r/>
          </w:p>
        </w:tc>
        <w:tc>
          <w:tcPr>
            <w:tcBorders>
              <w:left w:val="single" w:color="000000" w:sz="6" w:space="0"/>
              <w:right w:val="single" w:color="000000" w:sz="6" w:space="0"/>
            </w:tcBorders>
            <w:tcW w:w="709" w:type="pct"/>
            <w:vAlign w:val="center"/>
            <w:vMerge w:val="continue"/>
            <w:textDirection w:val="lrTb"/>
            <w:noWrap w:val="false"/>
          </w:tcPr>
          <w:p>
            <w:pPr>
              <w:pStyle w:val="860"/>
              <w:jc w:val="center"/>
              <w:widowControl/>
              <w:rPr>
                <w:rFonts w:hint="eastAsia" w:ascii="宋体" w:hAnsi="宋体"/>
                <w:szCs w:val="21"/>
              </w:rPr>
            </w:pPr>
            <w:r>
              <w:rPr>
                <w:rFonts w:hint="eastAsia" w:ascii="宋体" w:hAnsi="宋体"/>
                <w:szCs w:val="21"/>
              </w:rPr>
            </w:r>
            <w:r/>
          </w:p>
        </w:tc>
        <w:tc>
          <w:tcPr>
            <w:gridSpan w:val="4"/>
            <w:tcBorders>
              <w:top w:val="single" w:color="000000" w:sz="6" w:space="0"/>
              <w:left w:val="single" w:color="000000" w:sz="6" w:space="0"/>
              <w:bottom w:val="single" w:color="000000" w:sz="6" w:space="0"/>
              <w:right w:val="single" w:color="000000" w:sz="6" w:space="0"/>
            </w:tcBorders>
            <w:tcW w:w="1827"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传动方式</w:t>
            </w:r>
            <w:r/>
          </w:p>
        </w:tc>
        <w:tc>
          <w:tcPr>
            <w:tcBorders>
              <w:top w:val="single" w:color="000000" w:sz="6"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永磁同步无齿轮</w:t>
            </w:r>
            <w:r/>
          </w:p>
        </w:tc>
      </w:tr>
      <w:tr>
        <w:trPr>
          <w:cantSplit/>
          <w:trHeight w:val="312"/>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center"/>
              <w:widowControl/>
              <w:rPr>
                <w:rFonts w:hint="eastAsia" w:ascii="宋体" w:hAnsi="宋体"/>
                <w:szCs w:val="21"/>
              </w:rPr>
            </w:pPr>
            <w:r>
              <w:rPr>
                <w:rFonts w:hint="eastAsia" w:ascii="宋体" w:hAnsi="宋体"/>
                <w:szCs w:val="21"/>
              </w:rPr>
              <w:t xml:space="preserve">3.1.10</w:t>
            </w:r>
            <w:r/>
          </w:p>
        </w:tc>
        <w:tc>
          <w:tcPr>
            <w:tcBorders>
              <w:left w:val="single" w:color="000000" w:sz="6" w:space="0"/>
              <w:right w:val="single" w:color="000000" w:sz="6" w:space="0"/>
            </w:tcBorders>
            <w:tcW w:w="709" w:type="pct"/>
            <w:vAlign w:val="center"/>
            <w:vMerge w:val="continue"/>
            <w:textDirection w:val="lrTb"/>
            <w:noWrap w:val="false"/>
          </w:tcPr>
          <w:p>
            <w:pPr>
              <w:pStyle w:val="860"/>
              <w:jc w:val="center"/>
              <w:widowControl/>
              <w:rPr>
                <w:rFonts w:hint="eastAsia" w:ascii="宋体" w:hAnsi="宋体"/>
                <w:szCs w:val="21"/>
              </w:rPr>
            </w:pPr>
            <w:r>
              <w:rPr>
                <w:rFonts w:hint="eastAsia" w:ascii="宋体" w:hAnsi="宋体"/>
                <w:szCs w:val="21"/>
              </w:rPr>
            </w:r>
            <w:r/>
          </w:p>
        </w:tc>
        <w:tc>
          <w:tcPr>
            <w:gridSpan w:val="4"/>
            <w:tcBorders>
              <w:top w:val="single" w:color="000000" w:sz="6" w:space="0"/>
              <w:left w:val="single" w:color="000000" w:sz="6" w:space="0"/>
              <w:bottom w:val="single" w:color="000000" w:sz="6" w:space="0"/>
              <w:right w:val="single" w:color="000000" w:sz="6" w:space="0"/>
            </w:tcBorders>
            <w:tcW w:w="1827"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控制方式</w:t>
            </w:r>
            <w:r/>
          </w:p>
        </w:tc>
        <w:tc>
          <w:tcPr>
            <w:tcBorders>
              <w:top w:val="single" w:color="000000" w:sz="6"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全电脑控制</w:t>
            </w:r>
            <w:r/>
          </w:p>
        </w:tc>
      </w:tr>
      <w:tr>
        <w:trPr>
          <w:cantSplit/>
          <w:trHeight w:val="312"/>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center"/>
              <w:widowControl/>
              <w:rPr>
                <w:rFonts w:hint="eastAsia" w:ascii="宋体" w:hAnsi="宋体"/>
                <w:szCs w:val="21"/>
              </w:rPr>
            </w:pPr>
            <w:r>
              <w:rPr>
                <w:rFonts w:hint="eastAsia" w:ascii="宋体" w:hAnsi="宋体"/>
                <w:szCs w:val="21"/>
              </w:rPr>
              <w:t xml:space="preserve">3.1.11</w:t>
            </w:r>
            <w:r/>
          </w:p>
        </w:tc>
        <w:tc>
          <w:tcPr>
            <w:tcBorders>
              <w:left w:val="single" w:color="000000" w:sz="6" w:space="0"/>
              <w:right w:val="single" w:color="000000" w:sz="6" w:space="0"/>
            </w:tcBorders>
            <w:tcW w:w="709" w:type="pct"/>
            <w:vAlign w:val="center"/>
            <w:vMerge w:val="continue"/>
            <w:textDirection w:val="lrTb"/>
            <w:noWrap w:val="false"/>
          </w:tcPr>
          <w:p>
            <w:pPr>
              <w:pStyle w:val="860"/>
              <w:jc w:val="center"/>
              <w:widowControl/>
              <w:rPr>
                <w:rFonts w:hint="eastAsia" w:ascii="宋体" w:hAnsi="宋体"/>
                <w:szCs w:val="21"/>
              </w:rPr>
            </w:pPr>
            <w:r>
              <w:rPr>
                <w:rFonts w:hint="eastAsia" w:ascii="宋体" w:hAnsi="宋体"/>
                <w:szCs w:val="21"/>
              </w:rPr>
            </w:r>
            <w:r/>
          </w:p>
        </w:tc>
        <w:tc>
          <w:tcPr>
            <w:gridSpan w:val="4"/>
            <w:tcBorders>
              <w:top w:val="single" w:color="000000" w:sz="6" w:space="0"/>
              <w:left w:val="single" w:color="000000" w:sz="6" w:space="0"/>
              <w:bottom w:val="single" w:color="000000" w:sz="6" w:space="0"/>
              <w:right w:val="single" w:color="000000" w:sz="6" w:space="0"/>
            </w:tcBorders>
            <w:tcW w:w="1827"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门机系统</w:t>
            </w:r>
            <w:r/>
          </w:p>
        </w:tc>
        <w:tc>
          <w:tcPr>
            <w:tcBorders>
              <w:top w:val="single" w:color="000000" w:sz="6"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变频门机</w:t>
            </w:r>
            <w:r/>
          </w:p>
        </w:tc>
      </w:tr>
      <w:tr>
        <w:trPr>
          <w:cantSplit/>
          <w:trHeight w:val="312"/>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center"/>
              <w:widowControl/>
              <w:rPr>
                <w:rFonts w:hint="eastAsia" w:ascii="宋体" w:hAnsi="宋体"/>
                <w:szCs w:val="21"/>
              </w:rPr>
            </w:pPr>
            <w:r>
              <w:rPr>
                <w:rFonts w:hint="eastAsia" w:ascii="宋体" w:hAnsi="宋体"/>
                <w:szCs w:val="21"/>
              </w:rPr>
              <w:t xml:space="preserve">3.1.12</w:t>
            </w:r>
            <w:r/>
          </w:p>
        </w:tc>
        <w:tc>
          <w:tcPr>
            <w:tcBorders>
              <w:left w:val="single" w:color="000000" w:sz="6" w:space="0"/>
              <w:right w:val="single" w:color="000000" w:sz="6" w:space="0"/>
            </w:tcBorders>
            <w:tcW w:w="709" w:type="pct"/>
            <w:vAlign w:val="center"/>
            <w:vMerge w:val="continue"/>
            <w:textDirection w:val="lrTb"/>
            <w:noWrap w:val="false"/>
          </w:tcPr>
          <w:p>
            <w:pPr>
              <w:pStyle w:val="860"/>
              <w:jc w:val="center"/>
              <w:widowControl/>
              <w:rPr>
                <w:rFonts w:hint="eastAsia" w:ascii="宋体" w:hAnsi="宋体"/>
                <w:szCs w:val="21"/>
              </w:rPr>
            </w:pPr>
            <w:r>
              <w:rPr>
                <w:rFonts w:hint="eastAsia" w:ascii="宋体" w:hAnsi="宋体"/>
                <w:szCs w:val="21"/>
              </w:rPr>
            </w:r>
            <w:r/>
          </w:p>
        </w:tc>
        <w:tc>
          <w:tcPr>
            <w:gridSpan w:val="4"/>
            <w:tcBorders>
              <w:top w:val="single" w:color="000000" w:sz="6" w:space="0"/>
              <w:left w:val="single" w:color="000000" w:sz="6" w:space="0"/>
              <w:bottom w:val="single" w:color="000000" w:sz="6" w:space="0"/>
              <w:right w:val="single" w:color="000000" w:sz="6" w:space="0"/>
            </w:tcBorders>
            <w:tcW w:w="1827"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开门方式</w:t>
            </w:r>
            <w:r/>
          </w:p>
        </w:tc>
        <w:tc>
          <w:tcPr>
            <w:tcBorders>
              <w:top w:val="single" w:color="000000" w:sz="6"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中分</w:t>
            </w:r>
            <w:r/>
          </w:p>
        </w:tc>
      </w:tr>
      <w:tr>
        <w:trPr>
          <w:cantSplit/>
          <w:trHeight w:val="312"/>
          <w:tblHeader/>
        </w:trPr>
        <w:tc>
          <w:tcPr>
            <w:tcBorders>
              <w:top w:val="single" w:color="000000" w:sz="4" w:space="0"/>
              <w:left w:val="single" w:color="000000" w:sz="6" w:space="0"/>
              <w:bottom w:val="single" w:color="000000" w:sz="4"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3.1.13</w:t>
            </w:r>
            <w:r/>
          </w:p>
        </w:tc>
        <w:tc>
          <w:tcPr>
            <w:tcBorders>
              <w:left w:val="single" w:color="000000" w:sz="6" w:space="0"/>
              <w:right w:val="single" w:color="000000" w:sz="6" w:space="0"/>
            </w:tcBorders>
            <w:tcW w:w="709" w:type="pct"/>
            <w:vAlign w:val="center"/>
            <w:vMerge w:val="continue"/>
            <w:textDirection w:val="lrTb"/>
            <w:noWrap w:val="false"/>
          </w:tcPr>
          <w:p>
            <w:pPr>
              <w:pStyle w:val="860"/>
              <w:jc w:val="center"/>
              <w:widowControl/>
              <w:rPr>
                <w:rFonts w:hint="eastAsia" w:ascii="宋体" w:hAnsi="宋体"/>
                <w:szCs w:val="21"/>
              </w:rPr>
            </w:pPr>
            <w:r>
              <w:rPr>
                <w:rFonts w:hint="eastAsia" w:ascii="宋体" w:hAnsi="宋体"/>
                <w:szCs w:val="21"/>
              </w:rPr>
            </w:r>
            <w:r/>
          </w:p>
        </w:tc>
        <w:tc>
          <w:tcPr>
            <w:gridSpan w:val="4"/>
            <w:tcBorders>
              <w:top w:val="single" w:color="000000" w:sz="6" w:space="0"/>
              <w:left w:val="single" w:color="000000" w:sz="6" w:space="0"/>
              <w:bottom w:val="single" w:color="000000" w:sz="6" w:space="0"/>
              <w:right w:val="single" w:color="000000" w:sz="6" w:space="0"/>
            </w:tcBorders>
            <w:tcW w:w="1827"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门保护装置</w:t>
            </w:r>
            <w:r/>
          </w:p>
        </w:tc>
        <w:tc>
          <w:tcPr>
            <w:tcBorders>
              <w:top w:val="single" w:color="000000" w:sz="6"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采用红外线光幕门保护（光束不小于180束）</w:t>
            </w:r>
            <w:r/>
          </w:p>
        </w:tc>
      </w:tr>
      <w:tr>
        <w:trPr>
          <w:cantSplit/>
          <w:trHeight w:val="657"/>
          <w:tblHeader/>
        </w:trPr>
        <w:tc>
          <w:tcPr>
            <w:tcBorders>
              <w:top w:val="single" w:color="000000" w:sz="4" w:space="0"/>
              <w:left w:val="single" w:color="000000" w:sz="6"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3.1.14</w:t>
            </w:r>
            <w:r/>
          </w:p>
        </w:tc>
        <w:tc>
          <w:tcPr>
            <w:tcBorders>
              <w:left w:val="single" w:color="000000" w:sz="6" w:space="0"/>
              <w:right w:val="single" w:color="000000" w:sz="6" w:space="0"/>
            </w:tcBorders>
            <w:tcW w:w="709" w:type="pct"/>
            <w:vAlign w:val="center"/>
            <w:vMerge w:val="continue"/>
            <w:textDirection w:val="lrTb"/>
            <w:noWrap w:val="false"/>
          </w:tcPr>
          <w:p>
            <w:pPr>
              <w:pStyle w:val="860"/>
              <w:jc w:val="center"/>
              <w:widowControl/>
              <w:rPr>
                <w:rFonts w:hint="eastAsia" w:ascii="宋体" w:hAnsi="宋体"/>
                <w:szCs w:val="21"/>
              </w:rPr>
            </w:pPr>
            <w:r>
              <w:rPr>
                <w:rFonts w:hint="eastAsia" w:ascii="宋体" w:hAnsi="宋体"/>
                <w:szCs w:val="21"/>
              </w:rPr>
            </w:r>
            <w:r/>
          </w:p>
        </w:tc>
        <w:tc>
          <w:tcPr>
            <w:gridSpan w:val="4"/>
            <w:tcBorders>
              <w:top w:val="single" w:color="000000" w:sz="6" w:space="0"/>
              <w:left w:val="single" w:color="000000" w:sz="6" w:space="0"/>
              <w:right w:val="single" w:color="000000" w:sz="6" w:space="0"/>
            </w:tcBorders>
            <w:tcW w:w="1827"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电源适应</w:t>
            </w:r>
            <w:r/>
          </w:p>
        </w:tc>
        <w:tc>
          <w:tcPr>
            <w:tcBorders>
              <w:top w:val="single" w:color="000000" w:sz="6" w:space="0"/>
              <w:left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主电源：三相</w:t>
            </w:r>
            <w:r>
              <w:rPr>
                <w:rFonts w:ascii="宋体" w:hAnsi="宋体"/>
                <w:szCs w:val="21"/>
              </w:rPr>
              <w:t xml:space="preserve">380V</w:t>
            </w:r>
            <w:r>
              <w:rPr>
                <w:rFonts w:hint="eastAsia" w:ascii="宋体" w:hAnsi="宋体"/>
                <w:szCs w:val="21"/>
              </w:rPr>
              <w:t xml:space="preserve">±</w:t>
            </w:r>
            <w:r>
              <w:rPr>
                <w:rFonts w:ascii="宋体" w:hAnsi="宋体"/>
                <w:szCs w:val="21"/>
              </w:rPr>
              <w:t xml:space="preserve">10%,50HZ</w:t>
            </w:r>
            <w:r>
              <w:rPr>
                <w:rFonts w:hint="eastAsia" w:ascii="宋体" w:hAnsi="宋体"/>
                <w:szCs w:val="21"/>
              </w:rPr>
              <w:t xml:space="preserve">；</w:t>
            </w:r>
            <w:r/>
          </w:p>
          <w:p>
            <w:pPr>
              <w:pStyle w:val="860"/>
              <w:jc w:val="left"/>
              <w:widowControl/>
              <w:rPr>
                <w:rFonts w:hint="eastAsia" w:ascii="宋体" w:hAnsi="宋体"/>
                <w:szCs w:val="21"/>
              </w:rPr>
            </w:pPr>
            <w:r>
              <w:rPr>
                <w:rFonts w:hint="eastAsia" w:ascii="宋体" w:hAnsi="宋体"/>
                <w:szCs w:val="21"/>
              </w:rPr>
              <w:t xml:space="preserve">照明：交流单相</w:t>
            </w:r>
            <w:r>
              <w:rPr>
                <w:rFonts w:ascii="宋体" w:hAnsi="宋体"/>
                <w:szCs w:val="21"/>
              </w:rPr>
              <w:t xml:space="preserve">220V</w:t>
            </w:r>
            <w:r>
              <w:rPr>
                <w:rFonts w:hint="eastAsia" w:ascii="宋体" w:hAnsi="宋体"/>
                <w:szCs w:val="21"/>
              </w:rPr>
              <w:t xml:space="preserve">±</w:t>
            </w:r>
            <w:r>
              <w:rPr>
                <w:rFonts w:ascii="宋体" w:hAnsi="宋体"/>
                <w:szCs w:val="21"/>
              </w:rPr>
              <w:t xml:space="preserve">10%,50HZ</w:t>
            </w:r>
            <w:r>
              <w:rPr>
                <w:rFonts w:hint="eastAsia" w:ascii="宋体" w:hAnsi="宋体"/>
                <w:szCs w:val="21"/>
              </w:rPr>
            </w:r>
            <w:r/>
          </w:p>
        </w:tc>
      </w:tr>
      <w:tr>
        <w:trPr>
          <w:cantSplit/>
          <w:trHeight w:val="312"/>
          <w:tblHeader/>
        </w:trPr>
        <w:tc>
          <w:tcPr>
            <w:tcBorders>
              <w:top w:val="single" w:color="000000" w:sz="6" w:space="0"/>
              <w:left w:val="single" w:color="000000" w:sz="6" w:space="0"/>
              <w:bottom w:val="single" w:color="000000" w:sz="4"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3.1.15</w:t>
            </w:r>
            <w:r/>
          </w:p>
        </w:tc>
        <w:tc>
          <w:tcPr>
            <w:tcBorders>
              <w:top w:val="single" w:color="000000" w:sz="6" w:space="0"/>
              <w:left w:val="single" w:color="000000" w:sz="6" w:space="0"/>
              <w:right w:val="single" w:color="000000" w:sz="6" w:space="0"/>
            </w:tcBorders>
            <w:tcW w:w="709" w:type="pct"/>
            <w:vAlign w:val="center"/>
            <w:vMerge w:val="restart"/>
            <w:textDirection w:val="lrTb"/>
            <w:noWrap w:val="false"/>
          </w:tcPr>
          <w:p>
            <w:pPr>
              <w:pStyle w:val="860"/>
              <w:jc w:val="center"/>
              <w:widowControl/>
              <w:rPr>
                <w:rFonts w:hint="eastAsia" w:ascii="宋体" w:hAnsi="宋体"/>
                <w:szCs w:val="21"/>
              </w:rPr>
            </w:pPr>
            <w:r>
              <w:rPr>
                <w:rFonts w:hint="eastAsia" w:ascii="宋体" w:hAnsi="宋体"/>
                <w:szCs w:val="21"/>
              </w:rPr>
              <w:t xml:space="preserve">性能要求</w:t>
            </w:r>
            <w:r/>
          </w:p>
        </w:tc>
        <w:tc>
          <w:tcPr>
            <w:gridSpan w:val="4"/>
            <w:tcBorders>
              <w:top w:val="single" w:color="000000" w:sz="6" w:space="0"/>
              <w:left w:val="single" w:color="000000" w:sz="6" w:space="0"/>
              <w:bottom w:val="single" w:color="000000" w:sz="6" w:space="0"/>
              <w:right w:val="single" w:color="000000" w:sz="6" w:space="0"/>
            </w:tcBorders>
            <w:tcW w:w="1827"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额定速度允许误差</w:t>
            </w:r>
            <w:r/>
          </w:p>
        </w:tc>
        <w:tc>
          <w:tcPr>
            <w:tcBorders>
              <w:top w:val="single" w:color="000000" w:sz="6"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符合国标</w:t>
            </w:r>
            <w:r/>
          </w:p>
        </w:tc>
      </w:tr>
      <w:tr>
        <w:trPr>
          <w:cantSplit/>
          <w:trHeight w:val="435"/>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center"/>
              <w:widowControl/>
              <w:rPr>
                <w:rFonts w:hint="eastAsia" w:ascii="宋体" w:hAnsi="宋体"/>
                <w:szCs w:val="21"/>
              </w:rPr>
            </w:pPr>
            <w:r>
              <w:rPr>
                <w:rFonts w:hint="eastAsia" w:ascii="宋体" w:hAnsi="宋体"/>
                <w:szCs w:val="21"/>
              </w:rPr>
              <w:t xml:space="preserve">3.1.16</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4"/>
            <w:tcBorders>
              <w:top w:val="single" w:color="000000" w:sz="6" w:space="0"/>
              <w:left w:val="single" w:color="000000" w:sz="6" w:space="0"/>
              <w:right w:val="single" w:color="000000" w:sz="6" w:space="0"/>
            </w:tcBorders>
            <w:tcW w:w="1827"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垂直电梯轿厢运行时垂直方向和水平方向的振动加速度</w:t>
            </w:r>
            <w:r/>
          </w:p>
        </w:tc>
        <w:tc>
          <w:tcPr>
            <w:tcBorders>
              <w:top w:val="single" w:color="000000" w:sz="6" w:space="0"/>
              <w:left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垂直</w:t>
            </w:r>
            <w:r>
              <w:rPr>
                <w:rFonts w:hint="eastAsia" w:ascii="宋体" w:hAnsi="宋体" w:cs="宋体"/>
                <w:szCs w:val="21"/>
              </w:rPr>
              <w:t xml:space="preserve">≤</w:t>
            </w:r>
            <w:r>
              <w:rPr>
                <w:rFonts w:ascii="宋体" w:hAnsi="宋体"/>
                <w:szCs w:val="21"/>
              </w:rPr>
              <w:t xml:space="preserve">25cm/s</w:t>
            </w:r>
            <w:r>
              <w:rPr>
                <w:rFonts w:ascii="宋体" w:hAnsi="宋体"/>
                <w:szCs w:val="21"/>
                <w:vertAlign w:val="superscript"/>
              </w:rPr>
              <w:t xml:space="preserve">2</w:t>
            </w:r>
            <w:r>
              <w:rPr>
                <w:rFonts w:ascii="宋体" w:hAnsi="宋体"/>
                <w:szCs w:val="21"/>
              </w:rPr>
              <w:t xml:space="preserve">,</w:t>
            </w:r>
            <w:r>
              <w:rPr>
                <w:rFonts w:hint="eastAsia" w:ascii="宋体" w:hAnsi="宋体"/>
                <w:szCs w:val="21"/>
              </w:rPr>
              <w:t xml:space="preserve">水平</w:t>
            </w:r>
            <w:r>
              <w:rPr>
                <w:rFonts w:hint="eastAsia" w:ascii="宋体" w:hAnsi="宋体" w:cs="宋体"/>
                <w:szCs w:val="21"/>
              </w:rPr>
              <w:t xml:space="preserve">≤</w:t>
            </w:r>
            <w:r>
              <w:rPr>
                <w:rFonts w:ascii="宋体" w:hAnsi="宋体"/>
                <w:szCs w:val="21"/>
              </w:rPr>
              <w:t xml:space="preserve">15cm/s</w:t>
            </w:r>
            <w:r>
              <w:rPr>
                <w:rFonts w:ascii="宋体" w:hAnsi="宋体"/>
                <w:szCs w:val="21"/>
                <w:vertAlign w:val="superscript"/>
              </w:rPr>
              <w:t xml:space="preserve">2</w:t>
            </w:r>
            <w:r>
              <w:rPr>
                <w:rFonts w:hint="eastAsia" w:ascii="宋体" w:hAnsi="宋体"/>
                <w:szCs w:val="21"/>
              </w:rPr>
            </w:r>
            <w:r/>
          </w:p>
        </w:tc>
      </w:tr>
      <w:tr>
        <w:trPr>
          <w:cantSplit/>
          <w:trHeight w:val="312"/>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center"/>
              <w:widowControl/>
              <w:rPr>
                <w:rFonts w:hint="eastAsia" w:ascii="宋体" w:hAnsi="宋体"/>
                <w:szCs w:val="21"/>
              </w:rPr>
            </w:pPr>
            <w:r>
              <w:rPr>
                <w:rFonts w:hint="eastAsia" w:ascii="宋体" w:hAnsi="宋体"/>
                <w:szCs w:val="21"/>
              </w:rPr>
              <w:t xml:space="preserve">3.1.17</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4"/>
            <w:tcBorders>
              <w:top w:val="single" w:color="000000" w:sz="6" w:space="0"/>
              <w:left w:val="single" w:color="000000" w:sz="6" w:space="0"/>
              <w:bottom w:val="single" w:color="000000" w:sz="6" w:space="0"/>
              <w:right w:val="single" w:color="000000" w:sz="6" w:space="0"/>
            </w:tcBorders>
            <w:tcW w:w="1827"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平层准确度</w:t>
            </w:r>
            <w:r/>
          </w:p>
        </w:tc>
        <w:tc>
          <w:tcPr>
            <w:tcBorders>
              <w:top w:val="single" w:color="000000" w:sz="6"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cs="宋体"/>
                <w:szCs w:val="21"/>
                <w:lang w:val="zh-CN"/>
              </w:rPr>
              <w:t xml:space="preserve">≤</w:t>
            </w:r>
            <w:r>
              <w:rPr>
                <w:rFonts w:hint="eastAsia" w:ascii="宋体" w:hAnsi="宋体"/>
                <w:szCs w:val="21"/>
              </w:rPr>
              <w:t xml:space="preserve">±</w:t>
            </w:r>
            <w:r>
              <w:rPr>
                <w:rFonts w:ascii="宋体" w:hAnsi="宋体"/>
                <w:szCs w:val="21"/>
              </w:rPr>
              <w:t xml:space="preserve">3mm</w:t>
            </w:r>
            <w:r>
              <w:rPr>
                <w:rFonts w:hint="eastAsia" w:ascii="宋体" w:hAnsi="宋体"/>
                <w:szCs w:val="21"/>
              </w:rPr>
            </w:r>
            <w:r/>
          </w:p>
        </w:tc>
      </w:tr>
      <w:tr>
        <w:trPr>
          <w:cantSplit/>
          <w:trHeight w:val="155"/>
          <w:tblHeader/>
        </w:trPr>
        <w:tc>
          <w:tcPr>
            <w:tcBorders>
              <w:top w:val="single" w:color="000000" w:sz="4" w:space="0"/>
              <w:left w:val="single" w:color="000000" w:sz="6" w:space="0"/>
              <w:bottom w:val="single" w:color="000000" w:sz="6"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3.1.18</w:t>
            </w:r>
            <w:r/>
          </w:p>
        </w:tc>
        <w:tc>
          <w:tcPr>
            <w:tcBorders>
              <w:left w:val="single" w:color="000000" w:sz="6" w:space="0"/>
              <w:bottom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4"/>
            <w:tcBorders>
              <w:top w:val="single" w:color="000000" w:sz="6" w:space="0"/>
              <w:left w:val="single" w:color="000000" w:sz="6" w:space="0"/>
              <w:bottom w:val="single" w:color="000000" w:sz="6" w:space="0"/>
              <w:right w:val="single" w:color="000000" w:sz="6" w:space="0"/>
            </w:tcBorders>
            <w:tcW w:w="1827"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噪声</w:t>
            </w:r>
            <w:r/>
          </w:p>
        </w:tc>
        <w:tc>
          <w:tcPr>
            <w:tcBorders>
              <w:top w:val="single" w:color="000000" w:sz="6"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w:t>
            </w:r>
            <w:r>
              <w:rPr>
                <w:rFonts w:ascii="宋体" w:hAnsi="宋体"/>
                <w:szCs w:val="21"/>
              </w:rPr>
              <w:t xml:space="preserve">50DB</w:t>
            </w:r>
            <w:r>
              <w:rPr>
                <w:rFonts w:hint="eastAsia" w:ascii="宋体" w:hAnsi="宋体"/>
                <w:szCs w:val="21"/>
              </w:rPr>
              <w:t xml:space="preserve">（轿厢噪声与开关门噪声）</w:t>
            </w:r>
            <w:r/>
          </w:p>
        </w:tc>
      </w:tr>
      <w:tr>
        <w:trPr>
          <w:cantSplit/>
          <w:trHeight w:val="349"/>
          <w:tblHeader/>
        </w:trPr>
        <w:tc>
          <w:tcPr>
            <w:tcBorders>
              <w:top w:val="single" w:color="000000" w:sz="6" w:space="0"/>
              <w:left w:val="single" w:color="000000" w:sz="6"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3.1.19</w:t>
            </w:r>
            <w:r/>
          </w:p>
        </w:tc>
        <w:tc>
          <w:tcPr>
            <w:tcBorders>
              <w:top w:val="single" w:color="000000" w:sz="6" w:space="0"/>
              <w:left w:val="single" w:color="000000" w:sz="6" w:space="0"/>
              <w:right w:val="single" w:color="000000" w:sz="6" w:space="0"/>
            </w:tcBorders>
            <w:tcW w:w="709" w:type="pct"/>
            <w:vAlign w:val="center"/>
            <w:vMerge w:val="restart"/>
            <w:textDirection w:val="lrTb"/>
            <w:noWrap w:val="false"/>
          </w:tcPr>
          <w:p>
            <w:pPr>
              <w:pStyle w:val="860"/>
              <w:jc w:val="left"/>
              <w:widowControl/>
              <w:rPr>
                <w:rFonts w:hint="eastAsia" w:ascii="宋体" w:hAnsi="宋体"/>
                <w:szCs w:val="21"/>
              </w:rPr>
            </w:pPr>
            <w:r>
              <w:rPr>
                <w:rFonts w:hint="eastAsia" w:ascii="宋体" w:hAnsi="宋体"/>
                <w:szCs w:val="21"/>
              </w:rPr>
              <w:t xml:space="preserve">内外装饰要求</w:t>
            </w:r>
            <w:r/>
          </w:p>
        </w:tc>
        <w:tc>
          <w:tcPr>
            <w:gridSpan w:val="2"/>
            <w:tcBorders>
              <w:top w:val="single" w:color="000000" w:sz="6" w:space="0"/>
              <w:left w:val="single" w:color="000000" w:sz="6" w:space="0"/>
              <w:right w:val="single" w:color="000000" w:sz="6" w:space="0"/>
            </w:tcBorders>
            <w:tcW w:w="663" w:type="pct"/>
            <w:vAlign w:val="center"/>
            <w:vMerge w:val="restart"/>
            <w:textDirection w:val="lrTb"/>
            <w:noWrap w:val="false"/>
          </w:tcPr>
          <w:p>
            <w:pPr>
              <w:pStyle w:val="860"/>
              <w:jc w:val="left"/>
              <w:widowControl/>
              <w:rPr>
                <w:rFonts w:hint="eastAsia" w:ascii="宋体" w:hAnsi="宋体"/>
                <w:szCs w:val="21"/>
              </w:rPr>
            </w:pPr>
            <w:r>
              <w:rPr>
                <w:rFonts w:hint="eastAsia" w:ascii="宋体" w:hAnsi="宋体"/>
                <w:szCs w:val="21"/>
              </w:rPr>
              <w:t xml:space="preserve">轿厢</w:t>
            </w:r>
            <w:r/>
          </w:p>
        </w:tc>
        <w:tc>
          <w:tcPr>
            <w:gridSpan w:val="2"/>
            <w:tcBorders>
              <w:top w:val="single" w:color="000000" w:sz="6" w:space="0"/>
              <w:left w:val="single" w:color="000000" w:sz="6" w:space="0"/>
              <w:right w:val="single" w:color="000000" w:sz="6" w:space="0"/>
            </w:tcBorders>
            <w:tcW w:w="116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轿厢高度</w:t>
            </w:r>
            <w:r/>
          </w:p>
        </w:tc>
        <w:tc>
          <w:tcPr>
            <w:tcBorders>
              <w:top w:val="single" w:color="000000" w:sz="6" w:space="0"/>
              <w:left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ascii="Arial" w:hAnsi="Arial" w:cs="Arial"/>
                <w:szCs w:val="21"/>
              </w:rPr>
              <w:t xml:space="preserve">≥</w:t>
            </w:r>
            <w:r>
              <w:rPr>
                <w:rFonts w:hint="eastAsia" w:ascii="宋体" w:hAnsi="宋体"/>
                <w:szCs w:val="21"/>
              </w:rPr>
              <w:t xml:space="preserve">2600mm</w:t>
            </w:r>
            <w:r/>
          </w:p>
        </w:tc>
      </w:tr>
      <w:tr>
        <w:trPr>
          <w:cantSplit/>
          <w:trHeight w:val="312"/>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center"/>
              <w:widowControl/>
              <w:rPr>
                <w:rFonts w:hint="eastAsia" w:ascii="宋体" w:hAnsi="宋体"/>
                <w:szCs w:val="21"/>
              </w:rPr>
            </w:pPr>
            <w:r>
              <w:rPr>
                <w:rFonts w:hint="eastAsia" w:ascii="宋体" w:hAnsi="宋体"/>
                <w:szCs w:val="21"/>
              </w:rPr>
              <w:t xml:space="preserve">3.1.20</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2"/>
            <w:tcBorders>
              <w:left w:val="single" w:color="000000" w:sz="6" w:space="0"/>
              <w:right w:val="single" w:color="000000" w:sz="6" w:space="0"/>
            </w:tcBorders>
            <w:tcW w:w="663"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2"/>
            <w:tcBorders>
              <w:top w:val="single" w:color="000000" w:sz="6" w:space="0"/>
              <w:left w:val="single" w:color="000000" w:sz="6" w:space="0"/>
              <w:bottom w:val="single" w:color="000000" w:sz="6" w:space="0"/>
              <w:right w:val="single" w:color="000000" w:sz="6" w:space="0"/>
            </w:tcBorders>
            <w:tcW w:w="116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轿厢壁</w:t>
            </w:r>
            <w:r/>
          </w:p>
        </w:tc>
        <w:tc>
          <w:tcPr>
            <w:tcBorders>
              <w:top w:val="single" w:color="000000" w:sz="6"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发纹304不锈钢，厚度≥1.5毫米</w:t>
            </w:r>
            <w:r/>
          </w:p>
        </w:tc>
      </w:tr>
      <w:tr>
        <w:trPr>
          <w:cantSplit/>
          <w:trHeight w:val="312"/>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center"/>
              <w:widowControl/>
              <w:rPr>
                <w:rFonts w:hint="eastAsia" w:ascii="宋体" w:hAnsi="宋体"/>
                <w:szCs w:val="21"/>
              </w:rPr>
            </w:pPr>
            <w:r>
              <w:rPr>
                <w:rFonts w:hint="eastAsia" w:ascii="宋体" w:hAnsi="宋体"/>
                <w:szCs w:val="21"/>
              </w:rPr>
              <w:t xml:space="preserve">3.1.21</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2"/>
            <w:tcBorders>
              <w:left w:val="single" w:color="000000" w:sz="6" w:space="0"/>
              <w:right w:val="single" w:color="000000" w:sz="6" w:space="0"/>
            </w:tcBorders>
            <w:tcW w:w="663"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2"/>
            <w:tcBorders>
              <w:top w:val="single" w:color="000000" w:sz="6" w:space="0"/>
              <w:left w:val="single" w:color="000000" w:sz="6" w:space="0"/>
              <w:bottom w:val="single" w:color="000000" w:sz="6" w:space="0"/>
              <w:right w:val="single" w:color="000000" w:sz="6" w:space="0"/>
            </w:tcBorders>
            <w:tcW w:w="116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轿厢门</w:t>
            </w:r>
            <w:r/>
          </w:p>
        </w:tc>
        <w:tc>
          <w:tcPr>
            <w:tcBorders>
              <w:top w:val="single" w:color="000000" w:sz="6"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发纹304不锈钢，厚度≥1.5毫米</w:t>
            </w:r>
            <w:r/>
          </w:p>
        </w:tc>
      </w:tr>
      <w:tr>
        <w:trPr>
          <w:cantSplit/>
          <w:trHeight w:val="312"/>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center"/>
              <w:widowControl/>
              <w:rPr>
                <w:rFonts w:hint="eastAsia" w:ascii="宋体" w:hAnsi="宋体"/>
                <w:szCs w:val="21"/>
              </w:rPr>
            </w:pPr>
            <w:r>
              <w:rPr>
                <w:rFonts w:hint="eastAsia" w:ascii="宋体" w:hAnsi="宋体"/>
                <w:szCs w:val="21"/>
              </w:rPr>
              <w:t xml:space="preserve">3.1.22</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2"/>
            <w:tcBorders>
              <w:left w:val="single" w:color="000000" w:sz="6" w:space="0"/>
              <w:right w:val="single" w:color="000000" w:sz="6" w:space="0"/>
            </w:tcBorders>
            <w:tcW w:w="663"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2"/>
            <w:tcBorders>
              <w:top w:val="single" w:color="000000" w:sz="6" w:space="0"/>
              <w:left w:val="single" w:color="000000" w:sz="6" w:space="0"/>
              <w:bottom w:val="single" w:color="000000" w:sz="6" w:space="0"/>
              <w:right w:val="single" w:color="000000" w:sz="6" w:space="0"/>
            </w:tcBorders>
            <w:tcW w:w="116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脚踏板</w:t>
            </w:r>
            <w:r/>
          </w:p>
        </w:tc>
        <w:tc>
          <w:tcPr>
            <w:tcBorders>
              <w:top w:val="single" w:color="000000" w:sz="6"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发纹304不锈钢</w:t>
            </w:r>
            <w:r/>
          </w:p>
        </w:tc>
      </w:tr>
      <w:tr>
        <w:trPr>
          <w:cantSplit/>
          <w:trHeight w:val="212"/>
          <w:tblHeader/>
        </w:trPr>
        <w:tc>
          <w:tcPr>
            <w:tcBorders>
              <w:top w:val="single" w:color="000000" w:sz="4" w:space="0"/>
              <w:left w:val="single" w:color="000000" w:sz="6" w:space="0"/>
              <w:bottom w:val="single" w:color="000000" w:sz="4"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3.1.23</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2"/>
            <w:tcBorders>
              <w:left w:val="single" w:color="000000" w:sz="6" w:space="0"/>
              <w:right w:val="single" w:color="000000" w:sz="6" w:space="0"/>
            </w:tcBorders>
            <w:tcW w:w="663"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2"/>
            <w:tcBorders>
              <w:top w:val="single" w:color="000000" w:sz="6" w:space="0"/>
              <w:left w:val="single" w:color="000000" w:sz="6" w:space="0"/>
              <w:bottom w:val="single" w:color="000000" w:sz="6" w:space="0"/>
              <w:right w:val="single" w:color="000000" w:sz="6" w:space="0"/>
            </w:tcBorders>
            <w:tcW w:w="116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轿厢地面</w:t>
            </w:r>
            <w:r/>
          </w:p>
        </w:tc>
        <w:tc>
          <w:tcPr>
            <w:tcBorders>
              <w:top w:val="single" w:color="000000" w:sz="6"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PVC地板或优于</w:t>
            </w:r>
            <w:r/>
          </w:p>
        </w:tc>
      </w:tr>
      <w:tr>
        <w:trPr>
          <w:cantSplit/>
          <w:trHeight w:val="428"/>
          <w:tblHeader/>
        </w:trPr>
        <w:tc>
          <w:tcPr>
            <w:tcBorders>
              <w:top w:val="single" w:color="000000" w:sz="4" w:space="0"/>
              <w:left w:val="single" w:color="000000" w:sz="6"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3.1.24</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2"/>
            <w:tcBorders>
              <w:left w:val="single" w:color="000000" w:sz="6" w:space="0"/>
              <w:right w:val="single" w:color="000000" w:sz="6" w:space="0"/>
            </w:tcBorders>
            <w:tcW w:w="663"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right w:val="single" w:color="000000" w:sz="6" w:space="0"/>
            </w:tcBorders>
            <w:tcW w:w="466" w:type="pct"/>
            <w:vAlign w:val="center"/>
            <w:vMerge w:val="restart"/>
            <w:textDirection w:val="lrTb"/>
            <w:noWrap w:val="false"/>
          </w:tcPr>
          <w:p>
            <w:pPr>
              <w:pStyle w:val="860"/>
              <w:jc w:val="left"/>
              <w:widowControl/>
              <w:rPr>
                <w:rFonts w:hint="eastAsia" w:ascii="宋体" w:hAnsi="宋体"/>
                <w:szCs w:val="21"/>
              </w:rPr>
            </w:pPr>
            <w:r>
              <w:rPr>
                <w:rFonts w:hint="eastAsia" w:ascii="宋体" w:hAnsi="宋体"/>
                <w:szCs w:val="21"/>
              </w:rPr>
              <w:t xml:space="preserve">操作盘</w:t>
            </w:r>
            <w:r/>
          </w:p>
        </w:tc>
        <w:tc>
          <w:tcPr>
            <w:tcBorders>
              <w:top w:val="single" w:color="000000" w:sz="6" w:space="0"/>
              <w:left w:val="single" w:color="000000" w:sz="6" w:space="0"/>
              <w:right w:val="single" w:color="000000" w:sz="6" w:space="0"/>
            </w:tcBorders>
            <w:tcW w:w="698" w:type="pct"/>
            <w:vAlign w:val="center"/>
            <w:vMerge w:val="restart"/>
            <w:textDirection w:val="lrTb"/>
            <w:noWrap w:val="false"/>
          </w:tcPr>
          <w:p>
            <w:pPr>
              <w:pStyle w:val="860"/>
              <w:jc w:val="left"/>
              <w:widowControl/>
              <w:rPr>
                <w:rFonts w:hint="eastAsia" w:ascii="宋体" w:hAnsi="宋体"/>
                <w:szCs w:val="21"/>
              </w:rPr>
            </w:pPr>
            <w:r>
              <w:rPr>
                <w:rFonts w:hint="eastAsia" w:ascii="宋体" w:hAnsi="宋体"/>
                <w:szCs w:val="21"/>
              </w:rPr>
              <w:t xml:space="preserve">面板材质</w:t>
            </w:r>
            <w:r/>
          </w:p>
        </w:tc>
        <w:tc>
          <w:tcPr>
            <w:tcBorders>
              <w:top w:val="single" w:color="000000" w:sz="6" w:space="0"/>
              <w:left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发纹304不锈钢</w:t>
            </w:r>
            <w:r/>
          </w:p>
        </w:tc>
      </w:tr>
      <w:tr>
        <w:trPr>
          <w:cantSplit/>
          <w:trHeight w:val="689"/>
          <w:tblHeader/>
        </w:trPr>
        <w:tc>
          <w:tcPr>
            <w:tcBorders>
              <w:top w:val="single" w:color="000000" w:sz="4" w:space="0"/>
              <w:left w:val="single" w:color="000000" w:sz="6"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3.1.25</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2"/>
            <w:tcBorders>
              <w:left w:val="single" w:color="000000" w:sz="6" w:space="0"/>
              <w:right w:val="single" w:color="000000" w:sz="6" w:space="0"/>
            </w:tcBorders>
            <w:tcW w:w="663"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tcBorders>
              <w:left w:val="single" w:color="000000" w:sz="6" w:space="0"/>
              <w:right w:val="single" w:color="000000" w:sz="6" w:space="0"/>
            </w:tcBorders>
            <w:tcW w:w="466"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right w:val="single" w:color="000000" w:sz="6" w:space="0"/>
            </w:tcBorders>
            <w:tcW w:w="698" w:type="pct"/>
            <w:vAlign w:val="center"/>
            <w:vMerge w:val="restart"/>
            <w:textDirection w:val="lrTb"/>
            <w:noWrap w:val="false"/>
          </w:tcPr>
          <w:p>
            <w:pPr>
              <w:pStyle w:val="860"/>
              <w:jc w:val="left"/>
              <w:widowControl/>
              <w:rPr>
                <w:rFonts w:hint="eastAsia" w:ascii="宋体" w:hAnsi="宋体"/>
                <w:szCs w:val="21"/>
              </w:rPr>
            </w:pPr>
            <w:r>
              <w:rPr>
                <w:rFonts w:hint="eastAsia" w:ascii="宋体" w:hAnsi="宋体"/>
                <w:szCs w:val="21"/>
              </w:rPr>
              <w:t xml:space="preserve">显示器显示内容</w:t>
            </w:r>
            <w:r/>
          </w:p>
        </w:tc>
        <w:tc>
          <w:tcPr>
            <w:tcBorders>
              <w:top w:val="single" w:color="000000" w:sz="6" w:space="0"/>
              <w:left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多媒体屏幕，显示楼层位置及上下运行方向，不小于12英寸，支持院方图片和信息发布</w:t>
            </w:r>
            <w:r/>
          </w:p>
        </w:tc>
      </w:tr>
      <w:tr>
        <w:trPr>
          <w:cantSplit/>
          <w:trHeight w:val="997"/>
          <w:tblHeader/>
        </w:trPr>
        <w:tc>
          <w:tcPr>
            <w:tcBorders>
              <w:top w:val="single" w:color="000000" w:sz="4" w:space="0"/>
              <w:left w:val="single" w:color="000000" w:sz="6"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3.1.26</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2"/>
            <w:tcBorders>
              <w:left w:val="single" w:color="000000" w:sz="6" w:space="0"/>
              <w:right w:val="single" w:color="000000" w:sz="6" w:space="0"/>
            </w:tcBorders>
            <w:tcW w:w="663"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tcBorders>
              <w:left w:val="single" w:color="000000" w:sz="6" w:space="0"/>
              <w:right w:val="single" w:color="000000" w:sz="6" w:space="0"/>
            </w:tcBorders>
            <w:tcW w:w="466"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right w:val="single" w:color="000000" w:sz="6" w:space="0"/>
            </w:tcBorders>
            <w:tcW w:w="698" w:type="pct"/>
            <w:vAlign w:val="center"/>
            <w:vMerge w:val="restart"/>
            <w:textDirection w:val="lrTb"/>
            <w:noWrap w:val="false"/>
          </w:tcPr>
          <w:p>
            <w:pPr>
              <w:pStyle w:val="860"/>
              <w:jc w:val="left"/>
              <w:widowControl/>
              <w:rPr>
                <w:rFonts w:hint="eastAsia" w:ascii="宋体" w:hAnsi="宋体"/>
                <w:szCs w:val="21"/>
              </w:rPr>
            </w:pPr>
            <w:r>
              <w:rPr>
                <w:rFonts w:hint="eastAsia" w:ascii="宋体" w:hAnsi="宋体"/>
                <w:szCs w:val="21"/>
              </w:rPr>
              <w:t xml:space="preserve">操作功能</w:t>
            </w:r>
            <w:r/>
          </w:p>
        </w:tc>
        <w:tc>
          <w:tcPr>
            <w:tcBorders>
              <w:top w:val="single" w:color="000000" w:sz="6" w:space="0"/>
              <w:left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钥匙操作，开关箱内有停止开关、照明开关、风扇开关，并具备隐藏式对讲机一部，配备副操作箱</w:t>
            </w:r>
            <w:r/>
          </w:p>
        </w:tc>
      </w:tr>
      <w:tr>
        <w:trPr>
          <w:cantSplit/>
          <w:trHeight w:val="685"/>
          <w:tblHeader/>
        </w:trPr>
        <w:tc>
          <w:tcPr>
            <w:tcBorders>
              <w:top w:val="single" w:color="000000" w:sz="4" w:space="0"/>
              <w:left w:val="single" w:color="000000" w:sz="6"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3.1.27</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2"/>
            <w:tcBorders>
              <w:left w:val="single" w:color="000000" w:sz="6" w:space="0"/>
              <w:right w:val="single" w:color="000000" w:sz="6" w:space="0"/>
            </w:tcBorders>
            <w:tcW w:w="663"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tcBorders>
              <w:left w:val="single" w:color="000000" w:sz="6" w:space="0"/>
              <w:right w:val="single" w:color="000000" w:sz="6" w:space="0"/>
            </w:tcBorders>
            <w:tcW w:w="466"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right w:val="single" w:color="000000" w:sz="6" w:space="0"/>
            </w:tcBorders>
            <w:tcW w:w="698" w:type="pct"/>
            <w:vAlign w:val="center"/>
            <w:vMerge w:val="restart"/>
            <w:textDirection w:val="lrTb"/>
            <w:noWrap w:val="false"/>
          </w:tcPr>
          <w:p>
            <w:pPr>
              <w:pStyle w:val="860"/>
              <w:jc w:val="left"/>
              <w:widowControl/>
              <w:rPr>
                <w:rFonts w:hint="eastAsia" w:ascii="宋体" w:hAnsi="宋体"/>
                <w:szCs w:val="21"/>
              </w:rPr>
            </w:pPr>
            <w:r>
              <w:rPr>
                <w:rFonts w:hint="eastAsia" w:ascii="宋体" w:hAnsi="宋体"/>
                <w:szCs w:val="21"/>
              </w:rPr>
              <w:t xml:space="preserve">标示要求</w:t>
            </w:r>
            <w:r/>
          </w:p>
        </w:tc>
        <w:tc>
          <w:tcPr>
            <w:tcBorders>
              <w:top w:val="single" w:color="000000" w:sz="6" w:space="0"/>
              <w:left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（中英文）表示厂牌、用途、限乘人数、限载重量等</w:t>
            </w:r>
            <w:r/>
          </w:p>
        </w:tc>
      </w:tr>
      <w:tr>
        <w:trPr>
          <w:cantSplit/>
          <w:trHeight w:val="1253"/>
          <w:tblHeader/>
        </w:trPr>
        <w:tc>
          <w:tcPr>
            <w:tcBorders>
              <w:top w:val="single" w:color="000000" w:sz="4" w:space="0"/>
              <w:left w:val="single" w:color="000000" w:sz="6"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3.1.28</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2"/>
            <w:tcBorders>
              <w:left w:val="single" w:color="000000" w:sz="6" w:space="0"/>
              <w:right w:val="single" w:color="000000" w:sz="6" w:space="0"/>
            </w:tcBorders>
            <w:tcW w:w="663"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tcBorders>
              <w:left w:val="single" w:color="000000" w:sz="6" w:space="0"/>
              <w:right w:val="single" w:color="000000" w:sz="6" w:space="0"/>
            </w:tcBorders>
            <w:tcW w:w="466"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right w:val="single" w:color="000000" w:sz="6" w:space="0"/>
            </w:tcBorders>
            <w:tcW w:w="698"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按钮要求</w:t>
            </w:r>
            <w:r/>
          </w:p>
        </w:tc>
        <w:tc>
          <w:tcPr>
            <w:tcBorders>
              <w:top w:val="single" w:color="000000" w:sz="6" w:space="0"/>
              <w:left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微触式按钮，具有停靠层数相同的楼层按钮；开关门按钮各一个并以图形表示；其中紧急呼叫按钮（</w:t>
            </w:r>
            <w:r>
              <w:rPr>
                <w:rFonts w:ascii="宋体" w:hAnsi="宋体"/>
                <w:szCs w:val="21"/>
              </w:rPr>
              <w:t xml:space="preserve">ALARM</w:t>
            </w:r>
            <w:r>
              <w:rPr>
                <w:rFonts w:hint="eastAsia" w:ascii="宋体" w:hAnsi="宋体"/>
                <w:szCs w:val="21"/>
              </w:rPr>
              <w:t xml:space="preserve">）需显目明显</w:t>
            </w:r>
            <w:r/>
          </w:p>
        </w:tc>
      </w:tr>
      <w:tr>
        <w:trPr>
          <w:cantSplit/>
          <w:trHeight w:val="312"/>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center"/>
              <w:widowControl/>
              <w:rPr>
                <w:rFonts w:hint="eastAsia" w:ascii="宋体" w:hAnsi="宋体"/>
                <w:szCs w:val="21"/>
              </w:rPr>
            </w:pPr>
            <w:r>
              <w:rPr>
                <w:rFonts w:hint="eastAsia" w:ascii="宋体" w:hAnsi="宋体"/>
                <w:szCs w:val="21"/>
              </w:rPr>
              <w:t xml:space="preserve">3.1.29</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2"/>
            <w:tcBorders>
              <w:top w:val="single" w:color="000000" w:sz="6" w:space="0"/>
              <w:left w:val="single" w:color="000000" w:sz="6" w:space="0"/>
              <w:right w:val="single" w:color="000000" w:sz="6" w:space="0"/>
            </w:tcBorders>
            <w:tcW w:w="663" w:type="pct"/>
            <w:vAlign w:val="center"/>
            <w:vMerge w:val="restart"/>
            <w:textDirection w:val="lrTb"/>
            <w:noWrap w:val="false"/>
          </w:tcPr>
          <w:p>
            <w:pPr>
              <w:pStyle w:val="860"/>
              <w:jc w:val="left"/>
              <w:widowControl/>
              <w:rPr>
                <w:rFonts w:hint="eastAsia" w:ascii="宋体" w:hAnsi="宋体"/>
                <w:szCs w:val="21"/>
              </w:rPr>
            </w:pPr>
            <w:r>
              <w:rPr>
                <w:rFonts w:hint="eastAsia" w:ascii="宋体" w:hAnsi="宋体"/>
                <w:szCs w:val="21"/>
              </w:rPr>
              <w:t xml:space="preserve">厅门及门套</w:t>
            </w:r>
            <w:r/>
          </w:p>
        </w:tc>
        <w:tc>
          <w:tcPr>
            <w:tcBorders>
              <w:top w:val="single" w:color="000000" w:sz="6" w:space="0"/>
              <w:left w:val="single" w:color="000000" w:sz="6" w:space="0"/>
              <w:right w:val="single" w:color="000000" w:sz="6" w:space="0"/>
            </w:tcBorders>
            <w:tcW w:w="466" w:type="pct"/>
            <w:vAlign w:val="center"/>
            <w:vMerge w:val="restart"/>
            <w:textDirection w:val="lrTb"/>
            <w:noWrap w:val="false"/>
          </w:tcPr>
          <w:p>
            <w:pPr>
              <w:pStyle w:val="860"/>
              <w:jc w:val="left"/>
              <w:widowControl/>
              <w:rPr>
                <w:rFonts w:hint="eastAsia" w:ascii="宋体" w:hAnsi="宋体"/>
                <w:szCs w:val="21"/>
              </w:rPr>
            </w:pPr>
            <w:r>
              <w:rPr>
                <w:rFonts w:hint="eastAsia" w:ascii="宋体" w:hAnsi="宋体"/>
                <w:szCs w:val="21"/>
              </w:rPr>
              <w:t xml:space="preserve">厅门</w:t>
            </w:r>
            <w:r/>
          </w:p>
        </w:tc>
        <w:tc>
          <w:tcPr>
            <w:tcBorders>
              <w:top w:val="single" w:color="000000" w:sz="6" w:space="0"/>
              <w:left w:val="single" w:color="000000" w:sz="6" w:space="0"/>
              <w:bottom w:val="single" w:color="000000" w:sz="6" w:space="0"/>
              <w:right w:val="single" w:color="000000" w:sz="6" w:space="0"/>
            </w:tcBorders>
            <w:tcW w:w="698" w:type="pct"/>
            <w:vAlign w:val="center"/>
            <w:vMerge w:val="restart"/>
            <w:textDirection w:val="lrTb"/>
            <w:noWrap w:val="false"/>
          </w:tcPr>
          <w:p>
            <w:pPr>
              <w:pStyle w:val="860"/>
              <w:jc w:val="left"/>
              <w:widowControl/>
              <w:rPr>
                <w:rFonts w:hint="eastAsia" w:ascii="宋体" w:hAnsi="宋体"/>
                <w:szCs w:val="21"/>
              </w:rPr>
            </w:pPr>
            <w:r>
              <w:rPr>
                <w:rFonts w:hint="eastAsia" w:ascii="宋体" w:hAnsi="宋体"/>
                <w:szCs w:val="21"/>
              </w:rPr>
              <w:t xml:space="preserve">材质</w:t>
            </w:r>
            <w:r/>
          </w:p>
        </w:tc>
        <w:tc>
          <w:tcPr>
            <w:tcBorders>
              <w:top w:val="single" w:color="000000" w:sz="6"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发纹304不锈钢</w:t>
            </w:r>
            <w:r/>
          </w:p>
        </w:tc>
      </w:tr>
      <w:tr>
        <w:trPr>
          <w:cantSplit/>
          <w:trHeight w:val="312"/>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center"/>
              <w:widowControl/>
              <w:rPr>
                <w:rFonts w:hint="eastAsia" w:ascii="宋体" w:hAnsi="宋体"/>
                <w:szCs w:val="21"/>
              </w:rPr>
            </w:pPr>
            <w:r>
              <w:rPr>
                <w:rFonts w:hint="eastAsia" w:ascii="宋体" w:hAnsi="宋体"/>
                <w:szCs w:val="21"/>
              </w:rPr>
              <w:t xml:space="preserve">3.1.30</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2"/>
            <w:tcBorders>
              <w:left w:val="single" w:color="000000" w:sz="6" w:space="0"/>
              <w:right w:val="single" w:color="000000" w:sz="6" w:space="0"/>
            </w:tcBorders>
            <w:tcW w:w="663"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tcBorders>
              <w:left w:val="single" w:color="000000" w:sz="6" w:space="0"/>
              <w:right w:val="single" w:color="000000" w:sz="6" w:space="0"/>
            </w:tcBorders>
            <w:tcW w:w="466"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698" w:type="pct"/>
            <w:vAlign w:val="center"/>
            <w:vMerge w:val="restart"/>
            <w:textDirection w:val="lrTb"/>
            <w:noWrap w:val="false"/>
          </w:tcPr>
          <w:p>
            <w:pPr>
              <w:pStyle w:val="860"/>
              <w:jc w:val="left"/>
              <w:widowControl/>
              <w:rPr>
                <w:rFonts w:hint="eastAsia" w:ascii="宋体" w:hAnsi="宋体"/>
                <w:szCs w:val="21"/>
              </w:rPr>
            </w:pPr>
            <w:r>
              <w:rPr>
                <w:rFonts w:hint="eastAsia" w:ascii="宋体" w:hAnsi="宋体"/>
                <w:szCs w:val="21"/>
              </w:rPr>
              <w:t xml:space="preserve">厚度</w:t>
            </w:r>
            <w:r/>
          </w:p>
        </w:tc>
        <w:tc>
          <w:tcPr>
            <w:tcBorders>
              <w:top w:val="single" w:color="000000" w:sz="6"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≥1.5毫米</w:t>
            </w:r>
            <w:r/>
          </w:p>
        </w:tc>
      </w:tr>
      <w:tr>
        <w:trPr>
          <w:cantSplit/>
          <w:trHeight w:val="312"/>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center"/>
              <w:widowControl/>
              <w:rPr>
                <w:rFonts w:hint="eastAsia" w:ascii="宋体" w:hAnsi="宋体"/>
                <w:szCs w:val="21"/>
              </w:rPr>
            </w:pPr>
            <w:r>
              <w:rPr>
                <w:rFonts w:hint="eastAsia" w:ascii="宋体" w:hAnsi="宋体"/>
                <w:szCs w:val="21"/>
              </w:rPr>
              <w:t xml:space="preserve">3.1.31</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2"/>
            <w:tcBorders>
              <w:left w:val="single" w:color="000000" w:sz="6" w:space="0"/>
              <w:right w:val="single" w:color="000000" w:sz="6" w:space="0"/>
            </w:tcBorders>
            <w:tcW w:w="663"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tcBorders>
              <w:left w:val="single" w:color="000000" w:sz="6" w:space="0"/>
              <w:bottom w:val="single" w:color="000000" w:sz="6" w:space="0"/>
              <w:right w:val="single" w:color="000000" w:sz="6" w:space="0"/>
            </w:tcBorders>
            <w:tcW w:w="466"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698"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颜色</w:t>
            </w:r>
            <w:r/>
          </w:p>
        </w:tc>
        <w:tc>
          <w:tcPr>
            <w:tcBorders>
              <w:top w:val="single" w:color="000000" w:sz="6"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金属不锈钢色</w:t>
            </w:r>
            <w:r/>
          </w:p>
        </w:tc>
      </w:tr>
      <w:tr>
        <w:trPr>
          <w:cantSplit/>
          <w:trHeight w:val="312"/>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center"/>
              <w:widowControl/>
              <w:rPr>
                <w:rFonts w:hint="eastAsia" w:ascii="宋体" w:hAnsi="宋体"/>
                <w:szCs w:val="21"/>
              </w:rPr>
            </w:pPr>
            <w:r>
              <w:rPr>
                <w:rFonts w:hint="eastAsia" w:ascii="宋体" w:hAnsi="宋体"/>
                <w:szCs w:val="21"/>
              </w:rPr>
              <w:t xml:space="preserve">3.1.32</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2"/>
            <w:tcBorders>
              <w:left w:val="single" w:color="000000" w:sz="6" w:space="0"/>
              <w:right w:val="single" w:color="000000" w:sz="6" w:space="0"/>
            </w:tcBorders>
            <w:tcW w:w="663"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right w:val="single" w:color="000000" w:sz="6" w:space="0"/>
            </w:tcBorders>
            <w:tcW w:w="466" w:type="pct"/>
            <w:vAlign w:val="center"/>
            <w:vMerge w:val="restart"/>
            <w:textDirection w:val="lrTb"/>
            <w:noWrap w:val="false"/>
          </w:tcPr>
          <w:p>
            <w:pPr>
              <w:pStyle w:val="860"/>
              <w:jc w:val="left"/>
              <w:widowControl/>
              <w:rPr>
                <w:rFonts w:hint="eastAsia" w:ascii="宋体" w:hAnsi="宋体"/>
                <w:szCs w:val="21"/>
              </w:rPr>
            </w:pPr>
            <w:r>
              <w:rPr>
                <w:rFonts w:hint="eastAsia" w:ascii="宋体" w:hAnsi="宋体"/>
                <w:szCs w:val="21"/>
              </w:rPr>
              <w:t xml:space="preserve">门套</w:t>
            </w:r>
            <w:r/>
          </w:p>
        </w:tc>
        <w:tc>
          <w:tcPr>
            <w:tcBorders>
              <w:top w:val="single" w:color="000000" w:sz="6" w:space="0"/>
              <w:left w:val="single" w:color="000000" w:sz="6" w:space="0"/>
              <w:bottom w:val="single" w:color="000000" w:sz="6" w:space="0"/>
              <w:right w:val="single" w:color="000000" w:sz="6" w:space="0"/>
            </w:tcBorders>
            <w:tcW w:w="698" w:type="pct"/>
            <w:vAlign w:val="center"/>
            <w:vMerge w:val="restart"/>
            <w:textDirection w:val="lrTb"/>
            <w:noWrap w:val="false"/>
          </w:tcPr>
          <w:p>
            <w:pPr>
              <w:pStyle w:val="860"/>
              <w:jc w:val="left"/>
              <w:widowControl/>
              <w:rPr>
                <w:rFonts w:hint="eastAsia" w:ascii="宋体" w:hAnsi="宋体"/>
                <w:szCs w:val="21"/>
              </w:rPr>
            </w:pPr>
            <w:r>
              <w:rPr>
                <w:rFonts w:hint="eastAsia" w:ascii="宋体" w:hAnsi="宋体"/>
                <w:szCs w:val="21"/>
              </w:rPr>
              <w:t xml:space="preserve">材质</w:t>
            </w:r>
            <w:r/>
          </w:p>
        </w:tc>
        <w:tc>
          <w:tcPr>
            <w:tcBorders>
              <w:top w:val="single" w:color="000000" w:sz="6"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发纹304不锈钢</w:t>
            </w:r>
            <w:r/>
          </w:p>
        </w:tc>
      </w:tr>
      <w:tr>
        <w:trPr>
          <w:cantSplit/>
          <w:trHeight w:val="312"/>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center"/>
              <w:widowControl/>
              <w:rPr>
                <w:rFonts w:hint="eastAsia" w:ascii="宋体" w:hAnsi="宋体"/>
                <w:szCs w:val="21"/>
              </w:rPr>
            </w:pPr>
            <w:r>
              <w:rPr>
                <w:rFonts w:hint="eastAsia" w:ascii="宋体" w:hAnsi="宋体"/>
                <w:szCs w:val="21"/>
              </w:rPr>
              <w:t xml:space="preserve">3.1.33</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2"/>
            <w:tcBorders>
              <w:left w:val="single" w:color="000000" w:sz="6" w:space="0"/>
              <w:right w:val="single" w:color="000000" w:sz="6" w:space="0"/>
            </w:tcBorders>
            <w:tcW w:w="663"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tcBorders>
              <w:left w:val="single" w:color="000000" w:sz="6" w:space="0"/>
              <w:right w:val="single" w:color="000000" w:sz="6" w:space="0"/>
            </w:tcBorders>
            <w:tcW w:w="466"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698" w:type="pct"/>
            <w:vAlign w:val="center"/>
            <w:vMerge w:val="restart"/>
            <w:textDirection w:val="lrTb"/>
            <w:noWrap w:val="false"/>
          </w:tcPr>
          <w:p>
            <w:pPr>
              <w:pStyle w:val="860"/>
              <w:jc w:val="left"/>
              <w:widowControl/>
              <w:rPr>
                <w:rFonts w:hint="eastAsia" w:ascii="宋体" w:hAnsi="宋体"/>
                <w:szCs w:val="21"/>
              </w:rPr>
            </w:pPr>
            <w:r>
              <w:rPr>
                <w:rFonts w:hint="eastAsia" w:ascii="宋体" w:hAnsi="宋体"/>
                <w:szCs w:val="21"/>
              </w:rPr>
              <w:t xml:space="preserve">厚度</w:t>
            </w:r>
            <w:r/>
          </w:p>
        </w:tc>
        <w:tc>
          <w:tcPr>
            <w:tcBorders>
              <w:top w:val="single" w:color="000000" w:sz="6"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≥1.5毫米</w:t>
            </w:r>
            <w:r/>
          </w:p>
        </w:tc>
      </w:tr>
      <w:tr>
        <w:trPr>
          <w:cantSplit/>
          <w:trHeight w:val="312"/>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center"/>
              <w:widowControl/>
              <w:rPr>
                <w:rFonts w:hint="eastAsia" w:ascii="宋体" w:hAnsi="宋体"/>
                <w:szCs w:val="21"/>
              </w:rPr>
            </w:pPr>
            <w:r>
              <w:rPr>
                <w:rFonts w:hint="eastAsia" w:ascii="宋体" w:hAnsi="宋体"/>
                <w:szCs w:val="21"/>
              </w:rPr>
              <w:t xml:space="preserve">3.1.34</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2"/>
            <w:tcBorders>
              <w:left w:val="single" w:color="000000" w:sz="6" w:space="0"/>
              <w:right w:val="single" w:color="000000" w:sz="6" w:space="0"/>
            </w:tcBorders>
            <w:tcW w:w="663"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tcBorders>
              <w:left w:val="single" w:color="000000" w:sz="6" w:space="0"/>
              <w:bottom w:val="single" w:color="000000" w:sz="6" w:space="0"/>
              <w:right w:val="single" w:color="000000" w:sz="6" w:space="0"/>
            </w:tcBorders>
            <w:tcW w:w="466"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698"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颜色</w:t>
            </w:r>
            <w:r/>
          </w:p>
        </w:tc>
        <w:tc>
          <w:tcPr>
            <w:tcBorders>
              <w:top w:val="single" w:color="000000" w:sz="6" w:space="0"/>
              <w:left w:val="single" w:color="000000" w:sz="6" w:space="0"/>
              <w:bottom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根据院方要求</w:t>
            </w:r>
            <w:r/>
          </w:p>
        </w:tc>
      </w:tr>
      <w:tr>
        <w:trPr>
          <w:cantSplit/>
          <w:trHeight w:val="657"/>
          <w:tblHeader/>
        </w:trPr>
        <w:tc>
          <w:tcPr>
            <w:tcBorders>
              <w:top w:val="single" w:color="000000" w:sz="4" w:space="0"/>
              <w:left w:val="single" w:color="000000" w:sz="6"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3.1.35</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2"/>
            <w:tcBorders>
              <w:left w:val="single" w:color="000000" w:sz="6" w:space="0"/>
              <w:right w:val="single" w:color="000000" w:sz="6" w:space="0"/>
            </w:tcBorders>
            <w:tcW w:w="663"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right w:val="single" w:color="000000" w:sz="6" w:space="0"/>
            </w:tcBorders>
            <w:tcW w:w="466" w:type="pct"/>
            <w:vAlign w:val="center"/>
            <w:vMerge w:val="restart"/>
            <w:textDirection w:val="lrTb"/>
            <w:noWrap w:val="false"/>
          </w:tcPr>
          <w:p>
            <w:pPr>
              <w:pStyle w:val="860"/>
              <w:jc w:val="left"/>
              <w:widowControl/>
              <w:rPr>
                <w:rFonts w:hint="eastAsia" w:ascii="宋体" w:hAnsi="宋体"/>
                <w:szCs w:val="21"/>
              </w:rPr>
            </w:pPr>
            <w:r>
              <w:rPr>
                <w:rFonts w:hint="eastAsia" w:ascii="宋体" w:hAnsi="宋体"/>
                <w:szCs w:val="21"/>
              </w:rPr>
              <w:t xml:space="preserve">楼层召唤</w:t>
            </w:r>
            <w:r/>
          </w:p>
        </w:tc>
        <w:tc>
          <w:tcPr>
            <w:tcBorders>
              <w:top w:val="single" w:color="000000" w:sz="6" w:space="0"/>
              <w:left w:val="single" w:color="000000" w:sz="6" w:space="0"/>
              <w:right w:val="single" w:color="000000" w:sz="6" w:space="0"/>
            </w:tcBorders>
            <w:tcW w:w="698" w:type="pct"/>
            <w:vAlign w:val="center"/>
            <w:vMerge w:val="restart"/>
            <w:textDirection w:val="lrTb"/>
            <w:noWrap w:val="false"/>
          </w:tcPr>
          <w:p>
            <w:pPr>
              <w:pStyle w:val="860"/>
              <w:jc w:val="left"/>
              <w:widowControl/>
              <w:rPr>
                <w:rFonts w:hint="eastAsia" w:ascii="宋体" w:hAnsi="宋体"/>
                <w:szCs w:val="21"/>
              </w:rPr>
            </w:pPr>
            <w:r>
              <w:rPr>
                <w:rFonts w:hint="eastAsia" w:ascii="宋体" w:hAnsi="宋体"/>
                <w:szCs w:val="21"/>
              </w:rPr>
              <w:t xml:space="preserve">显示内容</w:t>
            </w:r>
            <w:r/>
          </w:p>
        </w:tc>
        <w:tc>
          <w:tcPr>
            <w:tcBorders>
              <w:top w:val="single" w:color="000000" w:sz="6" w:space="0"/>
              <w:left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显示楼层位置及上下运行方向，按钮为微触式按钮，点阵液晶显示面板</w:t>
            </w:r>
            <w:r/>
          </w:p>
        </w:tc>
      </w:tr>
      <w:tr>
        <w:trPr>
          <w:cantSplit/>
          <w:trHeight w:val="326"/>
          <w:tblHeader/>
        </w:trPr>
        <w:tc>
          <w:tcPr>
            <w:tcBorders>
              <w:top w:val="single" w:color="000000" w:sz="4" w:space="0"/>
              <w:left w:val="single" w:color="000000" w:sz="6"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3.1.37</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2"/>
            <w:tcBorders>
              <w:left w:val="single" w:color="000000" w:sz="6" w:space="0"/>
              <w:right w:val="single" w:color="000000" w:sz="6" w:space="0"/>
            </w:tcBorders>
            <w:tcW w:w="663"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tcBorders>
              <w:left w:val="single" w:color="000000" w:sz="6" w:space="0"/>
              <w:right w:val="single" w:color="000000" w:sz="6" w:space="0"/>
            </w:tcBorders>
            <w:tcW w:w="466"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right w:val="single" w:color="000000" w:sz="6" w:space="0"/>
            </w:tcBorders>
            <w:tcW w:w="698" w:type="pct"/>
            <w:vAlign w:val="center"/>
            <w:vMerge w:val="restart"/>
            <w:textDirection w:val="lrTb"/>
            <w:noWrap w:val="false"/>
          </w:tcPr>
          <w:p>
            <w:pPr>
              <w:pStyle w:val="860"/>
              <w:jc w:val="left"/>
              <w:widowControl/>
              <w:rPr>
                <w:rFonts w:hint="eastAsia" w:ascii="宋体" w:hAnsi="宋体"/>
                <w:szCs w:val="21"/>
              </w:rPr>
            </w:pPr>
            <w:r>
              <w:rPr>
                <w:rFonts w:hint="eastAsia" w:ascii="宋体" w:hAnsi="宋体"/>
                <w:szCs w:val="21"/>
              </w:rPr>
              <w:t xml:space="preserve">面板材质</w:t>
            </w:r>
            <w:r/>
          </w:p>
        </w:tc>
        <w:tc>
          <w:tcPr>
            <w:tcBorders>
              <w:top w:val="single" w:color="000000" w:sz="6" w:space="0"/>
              <w:left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发纹304不锈钢</w:t>
            </w:r>
            <w:r/>
          </w:p>
        </w:tc>
      </w:tr>
      <w:tr>
        <w:trPr>
          <w:cantSplit/>
          <w:trHeight w:val="571"/>
          <w:tblHeader/>
        </w:trPr>
        <w:tc>
          <w:tcPr>
            <w:tcBorders>
              <w:top w:val="single" w:color="000000" w:sz="4" w:space="0"/>
              <w:left w:val="single" w:color="000000" w:sz="6"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3.1.39</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2"/>
            <w:tcBorders>
              <w:left w:val="single" w:color="000000" w:sz="6" w:space="0"/>
              <w:right w:val="single" w:color="000000" w:sz="6" w:space="0"/>
            </w:tcBorders>
            <w:tcW w:w="663"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tcBorders>
              <w:left w:val="single" w:color="000000" w:sz="6" w:space="0"/>
              <w:right w:val="single" w:color="000000" w:sz="6" w:space="0"/>
            </w:tcBorders>
            <w:tcW w:w="466"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right w:val="single" w:color="000000" w:sz="6" w:space="0"/>
            </w:tcBorders>
            <w:tcW w:w="698"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安装位置</w:t>
            </w:r>
            <w:r/>
          </w:p>
        </w:tc>
        <w:tc>
          <w:tcPr>
            <w:tcBorders>
              <w:top w:val="single" w:color="000000" w:sz="6" w:space="0"/>
              <w:left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厅门右侧</w:t>
            </w:r>
            <w:r/>
          </w:p>
        </w:tc>
      </w:tr>
      <w:tr>
        <w:trPr>
          <w:cantSplit/>
          <w:trHeight w:val="396"/>
          <w:tblHeader/>
        </w:trPr>
        <w:tc>
          <w:tcPr>
            <w:tcBorders>
              <w:top w:val="single" w:color="000000" w:sz="4" w:space="0"/>
              <w:left w:val="single" w:color="000000" w:sz="6"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3.1.41</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2"/>
            <w:tcBorders>
              <w:left w:val="single" w:color="000000" w:sz="6" w:space="0"/>
              <w:right w:val="single" w:color="000000" w:sz="6" w:space="0"/>
            </w:tcBorders>
            <w:tcW w:w="663"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2"/>
            <w:tcBorders>
              <w:top w:val="single" w:color="000000" w:sz="6" w:space="0"/>
              <w:left w:val="single" w:color="000000" w:sz="6" w:space="0"/>
              <w:right w:val="single" w:color="000000" w:sz="6" w:space="0"/>
            </w:tcBorders>
            <w:tcW w:w="116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地坎</w:t>
            </w:r>
            <w:r/>
          </w:p>
        </w:tc>
        <w:tc>
          <w:tcPr>
            <w:tcBorders>
              <w:top w:val="single" w:color="000000" w:sz="6" w:space="0"/>
              <w:left w:val="single" w:color="000000" w:sz="6" w:space="0"/>
              <w:right w:val="single" w:color="000000" w:sz="6" w:space="0"/>
            </w:tcBorders>
            <w:tcW w:w="1944"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硬质铝合金</w:t>
            </w:r>
            <w:r/>
          </w:p>
        </w:tc>
      </w:tr>
      <w:tr>
        <w:trPr>
          <w:cantSplit/>
          <w:tblHeader/>
        </w:trPr>
        <w:tc>
          <w:tcPr>
            <w:tcBorders>
              <w:top w:val="single" w:color="000000" w:sz="6" w:space="0"/>
              <w:left w:val="single" w:color="000000" w:sz="6" w:space="0"/>
              <w:bottom w:val="single" w:color="000000" w:sz="4"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3.1.42</w:t>
            </w:r>
            <w:r/>
          </w:p>
        </w:tc>
        <w:tc>
          <w:tcPr>
            <w:tcBorders>
              <w:top w:val="single" w:color="000000" w:sz="6" w:space="0"/>
              <w:left w:val="single" w:color="000000" w:sz="6" w:space="0"/>
              <w:right w:val="single" w:color="000000" w:sz="6" w:space="0"/>
            </w:tcBorders>
            <w:tcW w:w="709" w:type="pct"/>
            <w:vAlign w:val="center"/>
            <w:vMerge w:val="restart"/>
            <w:textDirection w:val="lrTb"/>
            <w:noWrap w:val="false"/>
          </w:tcPr>
          <w:p>
            <w:pPr>
              <w:pStyle w:val="860"/>
              <w:jc w:val="center"/>
              <w:widowControl/>
              <w:rPr>
                <w:rFonts w:hint="eastAsia" w:ascii="宋体" w:hAnsi="宋体"/>
                <w:szCs w:val="21"/>
              </w:rPr>
            </w:pPr>
            <w:r>
              <w:rPr>
                <w:rFonts w:hint="eastAsia" w:ascii="宋体" w:hAnsi="宋体"/>
                <w:szCs w:val="21"/>
              </w:rPr>
              <w:t xml:space="preserve">功能要求</w:t>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自动</w:t>
            </w:r>
            <w:r>
              <w:rPr>
                <w:rFonts w:ascii="宋体" w:hAnsi="宋体"/>
                <w:szCs w:val="21"/>
              </w:rPr>
              <w:t xml:space="preserve">再平层</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3.1.43</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4"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电梯</w:t>
            </w:r>
            <w:r>
              <w:rPr>
                <w:rFonts w:ascii="宋体" w:hAnsi="宋体"/>
                <w:szCs w:val="21"/>
              </w:rPr>
              <w:t xml:space="preserve">受阻失速保护</w:t>
            </w:r>
            <w:r>
              <w:rPr>
                <w:rFonts w:hint="eastAsia" w:ascii="宋体" w:hAnsi="宋体"/>
                <w:szCs w:val="21"/>
              </w:rPr>
              <w:t xml:space="preserve"> </w:t>
            </w:r>
            <w:r/>
          </w:p>
        </w:tc>
      </w:tr>
      <w:tr>
        <w:trPr>
          <w:cantSplit/>
          <w:trHeight w:val="315"/>
          <w:tblHeader/>
        </w:trPr>
        <w:tc>
          <w:tcPr>
            <w:tcBorders>
              <w:top w:val="single" w:color="000000" w:sz="4" w:space="0"/>
              <w:left w:val="single" w:color="000000" w:sz="6" w:space="0"/>
              <w:bottom w:val="single" w:color="000000" w:sz="4" w:space="0"/>
              <w:right w:val="single" w:color="000000" w:sz="6" w:space="0"/>
            </w:tcBorders>
            <w:tcW w:w="519" w:type="pct"/>
            <w:vAlign w:val="center"/>
            <w:textDirection w:val="lrTb"/>
            <w:noWrap w:val="false"/>
          </w:tcPr>
          <w:p>
            <w:pPr>
              <w:pStyle w:val="860"/>
              <w:jc w:val="center"/>
              <w:widowControl/>
              <w:rPr>
                <w:rFonts w:hint="eastAsia" w:ascii="宋体" w:hAnsi="宋体"/>
                <w:szCs w:val="21"/>
              </w:rPr>
            </w:pPr>
            <w:r>
              <w:rPr>
                <w:rFonts w:hint="eastAsia" w:ascii="宋体" w:hAnsi="宋体"/>
                <w:szCs w:val="21"/>
              </w:rPr>
              <w:t xml:space="preserve">3.1.44</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4" w:space="0"/>
              <w:left w:val="single" w:color="000000" w:sz="6" w:space="0"/>
              <w:bottom w:val="single" w:color="000000" w:sz="4"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直达</w:t>
            </w:r>
            <w:r>
              <w:rPr>
                <w:rFonts w:ascii="宋体" w:hAnsi="宋体"/>
                <w:szCs w:val="21"/>
              </w:rPr>
              <w:t xml:space="preserve">运行</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3.1.45</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制动器</w:t>
            </w:r>
            <w:r>
              <w:rPr>
                <w:rFonts w:ascii="宋体" w:hAnsi="宋体"/>
                <w:szCs w:val="21"/>
              </w:rPr>
              <w:t xml:space="preserve">冗余保护</w:t>
            </w:r>
            <w:r>
              <w:rPr>
                <w:rFonts w:hint="eastAsia" w:ascii="宋体" w:hAnsi="宋体"/>
                <w:szCs w:val="21"/>
              </w:rPr>
              <w:t xml:space="preserve"> </w:t>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3.1.46</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轿厢</w:t>
            </w:r>
            <w:r>
              <w:rPr>
                <w:rFonts w:ascii="宋体" w:hAnsi="宋体"/>
                <w:szCs w:val="21"/>
              </w:rPr>
              <w:t xml:space="preserve">微机异常处理</w:t>
            </w:r>
            <w:r>
              <w:rPr>
                <w:rFonts w:hint="eastAsia" w:ascii="宋体" w:hAnsi="宋体"/>
                <w:szCs w:val="21"/>
              </w:rPr>
              <w:t xml:space="preserve"> </w:t>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3.1.47</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轿内</w:t>
            </w:r>
            <w:r>
              <w:rPr>
                <w:rFonts w:ascii="宋体" w:hAnsi="宋体"/>
                <w:szCs w:val="21"/>
              </w:rPr>
              <w:t xml:space="preserve">反向指令消除</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3.1.48</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轿内</w:t>
            </w:r>
            <w:r>
              <w:rPr>
                <w:rFonts w:ascii="宋体" w:hAnsi="宋体"/>
                <w:szCs w:val="21"/>
              </w:rPr>
              <w:t xml:space="preserve">通风</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3.1.49</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关门</w:t>
            </w:r>
            <w:r>
              <w:rPr>
                <w:rFonts w:ascii="宋体" w:hAnsi="宋体"/>
                <w:szCs w:val="21"/>
              </w:rPr>
              <w:t xml:space="preserve">保护</w:t>
            </w:r>
            <w:r>
              <w:rPr>
                <w:rFonts w:hint="eastAsia" w:ascii="宋体" w:hAnsi="宋体"/>
                <w:szCs w:val="21"/>
              </w:rPr>
            </w:r>
            <w:r/>
          </w:p>
        </w:tc>
      </w:tr>
      <w:tr>
        <w:trPr>
          <w:cantSplit/>
          <w:trHeight w:val="310"/>
          <w:tblHeader/>
        </w:trPr>
        <w:tc>
          <w:tcPr>
            <w:tcBorders>
              <w:top w:val="single" w:color="000000" w:sz="4" w:space="0"/>
              <w:left w:val="single" w:color="000000" w:sz="6"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3.1.50</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轿厢</w:t>
            </w:r>
            <w:r>
              <w:rPr>
                <w:rFonts w:ascii="宋体" w:hAnsi="宋体"/>
                <w:szCs w:val="21"/>
              </w:rPr>
              <w:t xml:space="preserve">溜车安全保护</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3.1.51</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轿内</w:t>
            </w:r>
            <w:r>
              <w:rPr>
                <w:rFonts w:ascii="宋体" w:hAnsi="宋体"/>
                <w:szCs w:val="21"/>
              </w:rPr>
              <w:t xml:space="preserve">运行方向指示</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3.1.52</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层站</w:t>
            </w:r>
            <w:r>
              <w:rPr>
                <w:rFonts w:ascii="宋体" w:hAnsi="宋体"/>
                <w:szCs w:val="21"/>
              </w:rPr>
              <w:t xml:space="preserve">运行方向指示</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3.1.53</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门锁</w:t>
            </w:r>
            <w:r>
              <w:rPr>
                <w:rFonts w:ascii="宋体" w:hAnsi="宋体"/>
                <w:szCs w:val="21"/>
              </w:rPr>
              <w:t xml:space="preserve">旁路运行</w:t>
            </w:r>
            <w:r>
              <w:rPr>
                <w:rFonts w:hint="eastAsia" w:ascii="宋体" w:hAnsi="宋体"/>
                <w:szCs w:val="21"/>
              </w:rPr>
              <w:t xml:space="preserve"> </w:t>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3.1.54</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关门</w:t>
            </w:r>
            <w:r>
              <w:rPr>
                <w:rFonts w:ascii="宋体" w:hAnsi="宋体"/>
                <w:szCs w:val="21"/>
              </w:rPr>
              <w:t xml:space="preserve">按钮响应指示</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3.1.55</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换向</w:t>
            </w:r>
            <w:r>
              <w:rPr>
                <w:rFonts w:ascii="宋体" w:hAnsi="宋体"/>
                <w:szCs w:val="21"/>
              </w:rPr>
              <w:t xml:space="preserve">重开门</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3.1.56</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开门</w:t>
            </w:r>
            <w:r>
              <w:rPr>
                <w:rFonts w:ascii="宋体" w:hAnsi="宋体"/>
                <w:szCs w:val="21"/>
              </w:rPr>
              <w:t xml:space="preserve">延长按钮</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3.1.57</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开门</w:t>
            </w:r>
            <w:r>
              <w:rPr>
                <w:rFonts w:ascii="宋体" w:hAnsi="宋体"/>
                <w:szCs w:val="21"/>
              </w:rPr>
              <w:t xml:space="preserve">延长按钮</w:t>
            </w:r>
            <w:r>
              <w:rPr>
                <w:rFonts w:hint="eastAsia" w:ascii="宋体" w:hAnsi="宋体"/>
                <w:szCs w:val="21"/>
              </w:rPr>
              <w:t xml:space="preserve">响应</w:t>
            </w:r>
            <w:r>
              <w:rPr>
                <w:rFonts w:ascii="宋体" w:hAnsi="宋体"/>
                <w:szCs w:val="21"/>
              </w:rPr>
              <w:t xml:space="preserve">指示</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3.1.58</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门</w:t>
            </w:r>
            <w:r>
              <w:rPr>
                <w:rFonts w:ascii="宋体" w:hAnsi="宋体"/>
                <w:szCs w:val="21"/>
              </w:rPr>
              <w:t xml:space="preserve">负载检测</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3.1.59</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开门</w:t>
            </w:r>
            <w:r>
              <w:rPr>
                <w:rFonts w:ascii="宋体" w:hAnsi="宋体"/>
                <w:szCs w:val="21"/>
              </w:rPr>
              <w:t xml:space="preserve">按钮响应指示</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3.1.60</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开门</w:t>
            </w:r>
            <w:r>
              <w:rPr>
                <w:rFonts w:ascii="宋体" w:hAnsi="宋体"/>
                <w:szCs w:val="21"/>
              </w:rPr>
              <w:t xml:space="preserve">受阻控制</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3.1.61</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开门</w:t>
            </w:r>
            <w:r>
              <w:rPr>
                <w:rFonts w:ascii="宋体" w:hAnsi="宋体"/>
                <w:szCs w:val="21"/>
              </w:rPr>
              <w:t xml:space="preserve">保持时间自动调整</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3.1.62</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门锁</w:t>
            </w:r>
            <w:r>
              <w:rPr>
                <w:rFonts w:ascii="宋体" w:hAnsi="宋体"/>
                <w:szCs w:val="21"/>
              </w:rPr>
              <w:t xml:space="preserve">短接保护</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3.1.63</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关门力矩</w:t>
            </w:r>
            <w:r>
              <w:rPr>
                <w:rFonts w:ascii="宋体" w:hAnsi="宋体"/>
                <w:szCs w:val="21"/>
              </w:rPr>
              <w:t xml:space="preserve">控制</w:t>
            </w:r>
            <w:r>
              <w:rPr>
                <w:rFonts w:hint="eastAsia" w:ascii="宋体" w:hAnsi="宋体"/>
                <w:szCs w:val="21"/>
              </w:rPr>
              <w:t xml:space="preserve"> </w:t>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3.1.64</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轿厢</w:t>
            </w:r>
            <w:r>
              <w:rPr>
                <w:rFonts w:ascii="宋体" w:hAnsi="宋体"/>
                <w:szCs w:val="21"/>
              </w:rPr>
              <w:t xml:space="preserve">应急照明</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3.1.65</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运行</w:t>
            </w:r>
            <w:r>
              <w:rPr>
                <w:rFonts w:ascii="宋体" w:hAnsi="宋体"/>
                <w:szCs w:val="21"/>
              </w:rPr>
              <w:t xml:space="preserve">次数和时间统计</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3.1.66</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即时</w:t>
            </w:r>
            <w:r>
              <w:rPr>
                <w:rFonts w:ascii="宋体" w:hAnsi="宋体"/>
                <w:szCs w:val="21"/>
              </w:rPr>
              <w:t xml:space="preserve">关门</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3.1.67</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紧急</w:t>
            </w:r>
            <w:r>
              <w:rPr>
                <w:rFonts w:ascii="宋体" w:hAnsi="宋体"/>
                <w:szCs w:val="21"/>
              </w:rPr>
              <w:t xml:space="preserve">电动运行</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3.1.68</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故障</w:t>
            </w:r>
            <w:r>
              <w:rPr>
                <w:rFonts w:ascii="宋体" w:hAnsi="宋体"/>
                <w:szCs w:val="21"/>
              </w:rPr>
              <w:t xml:space="preserve">自诊断</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3.1.69</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轿内</w:t>
            </w:r>
            <w:r>
              <w:rPr>
                <w:rFonts w:ascii="宋体" w:hAnsi="宋体"/>
                <w:szCs w:val="21"/>
              </w:rPr>
              <w:t xml:space="preserve">报警</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3.1.70</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电气</w:t>
            </w:r>
            <w:r>
              <w:rPr>
                <w:rFonts w:ascii="宋体" w:hAnsi="宋体"/>
                <w:szCs w:val="21"/>
              </w:rPr>
              <w:t xml:space="preserve">安全回路保护</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3.1.71</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专用</w:t>
            </w:r>
            <w:r>
              <w:rPr>
                <w:rFonts w:ascii="宋体" w:hAnsi="宋体"/>
                <w:szCs w:val="21"/>
              </w:rPr>
              <w:t xml:space="preserve">服务指示</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3.1.72</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消防</w:t>
            </w:r>
            <w:r>
              <w:rPr>
                <w:rFonts w:ascii="宋体" w:hAnsi="宋体"/>
                <w:szCs w:val="21"/>
              </w:rPr>
              <w:t xml:space="preserve">运行</w:t>
            </w:r>
            <w:r>
              <w:rPr>
                <w:rFonts w:hint="eastAsia" w:ascii="宋体" w:hAnsi="宋体"/>
                <w:szCs w:val="21"/>
              </w:rPr>
              <w:t xml:space="preserve">到位</w:t>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3.1.73</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消防</w:t>
            </w:r>
            <w:r>
              <w:rPr>
                <w:rFonts w:ascii="宋体" w:hAnsi="宋体"/>
                <w:szCs w:val="21"/>
              </w:rPr>
              <w:t xml:space="preserve">返回结束</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3.1.74</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层站</w:t>
            </w:r>
            <w:r>
              <w:rPr>
                <w:rFonts w:ascii="宋体" w:hAnsi="宋体"/>
                <w:szCs w:val="21"/>
              </w:rPr>
              <w:t xml:space="preserve">按钮灯闪烁指示</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3.1.75</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层高</w:t>
            </w:r>
            <w:r>
              <w:rPr>
                <w:rFonts w:ascii="宋体" w:hAnsi="宋体"/>
                <w:szCs w:val="21"/>
              </w:rPr>
              <w:t xml:space="preserve">自测定</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3.1.76</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层站</w:t>
            </w:r>
            <w:r>
              <w:rPr>
                <w:rFonts w:ascii="宋体" w:hAnsi="宋体"/>
                <w:szCs w:val="21"/>
              </w:rPr>
              <w:t xml:space="preserve">召唤自动登记</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3.1.77</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层站</w:t>
            </w:r>
            <w:r>
              <w:rPr>
                <w:rFonts w:ascii="宋体" w:hAnsi="宋体"/>
                <w:szCs w:val="21"/>
              </w:rPr>
              <w:t xml:space="preserve">微机异常处理</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3.1.78</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层站</w:t>
            </w:r>
            <w:r>
              <w:rPr>
                <w:rFonts w:ascii="宋体" w:hAnsi="宋体"/>
                <w:szCs w:val="21"/>
              </w:rPr>
              <w:t xml:space="preserve">运行控制开关</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3.1.79</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独立</w:t>
            </w:r>
            <w:r>
              <w:rPr>
                <w:rFonts w:ascii="宋体" w:hAnsi="宋体"/>
                <w:szCs w:val="21"/>
              </w:rPr>
              <w:t xml:space="preserve">运行</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3.1.80</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检修</w:t>
            </w:r>
            <w:r>
              <w:rPr>
                <w:rFonts w:ascii="宋体" w:hAnsi="宋体"/>
                <w:szCs w:val="21"/>
              </w:rPr>
              <w:t xml:space="preserve">操作</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3.1.81</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多方</w:t>
            </w:r>
            <w:r>
              <w:rPr>
                <w:rFonts w:ascii="宋体" w:hAnsi="宋体"/>
                <w:szCs w:val="21"/>
              </w:rPr>
              <w:t xml:space="preserve">通话装置</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3.1.82</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称重</w:t>
            </w:r>
            <w:r>
              <w:rPr>
                <w:rFonts w:ascii="宋体" w:hAnsi="宋体"/>
                <w:szCs w:val="21"/>
              </w:rPr>
              <w:t xml:space="preserve">启动</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3.1.83</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光幕</w:t>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3.1.84</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4"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电梯</w:t>
            </w:r>
            <w:r>
              <w:rPr>
                <w:rFonts w:ascii="宋体" w:hAnsi="宋体"/>
                <w:szCs w:val="21"/>
              </w:rPr>
              <w:t xml:space="preserve">不启动报警</w:t>
            </w:r>
            <w:r>
              <w:rPr>
                <w:rFonts w:hint="eastAsia" w:ascii="宋体" w:hAnsi="宋体"/>
                <w:szCs w:val="21"/>
              </w:rPr>
            </w:r>
            <w:r/>
          </w:p>
        </w:tc>
      </w:tr>
      <w:tr>
        <w:trPr>
          <w:cantSplit/>
          <w:trHeight w:val="315"/>
          <w:tblHeader/>
        </w:trPr>
        <w:tc>
          <w:tcPr>
            <w:tcBorders>
              <w:top w:val="single" w:color="000000" w:sz="4" w:space="0"/>
              <w:left w:val="single" w:color="000000" w:sz="6"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3.1.85</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4" w:space="0"/>
              <w:left w:val="single" w:color="000000" w:sz="6" w:space="0"/>
              <w:bottom w:val="single" w:color="000000" w:sz="4"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次层</w:t>
            </w:r>
            <w:r>
              <w:rPr>
                <w:rFonts w:ascii="宋体" w:hAnsi="宋体"/>
                <w:szCs w:val="21"/>
              </w:rPr>
              <w:t xml:space="preserve">停靠</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3.1.86</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过</w:t>
            </w:r>
            <w:r>
              <w:rPr>
                <w:rFonts w:ascii="宋体" w:hAnsi="宋体"/>
                <w:szCs w:val="21"/>
              </w:rPr>
              <w:t xml:space="preserve">电流保护</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3.1.87</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超载</w:t>
            </w:r>
            <w:r>
              <w:rPr>
                <w:rFonts w:ascii="宋体" w:hAnsi="宋体"/>
                <w:szCs w:val="21"/>
              </w:rPr>
              <w:t xml:space="preserve">报警</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3.1.88</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超速</w:t>
            </w:r>
            <w:r>
              <w:rPr>
                <w:rFonts w:ascii="宋体" w:hAnsi="宋体"/>
                <w:szCs w:val="21"/>
              </w:rPr>
              <w:t xml:space="preserve">保护</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3.1.89</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电机</w:t>
            </w:r>
            <w:r>
              <w:rPr>
                <w:rFonts w:ascii="宋体" w:hAnsi="宋体"/>
                <w:szCs w:val="21"/>
              </w:rPr>
              <w:t xml:space="preserve">过热保护</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3.1.90</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过</w:t>
            </w:r>
            <w:r>
              <w:rPr>
                <w:rFonts w:ascii="宋体" w:hAnsi="宋体"/>
                <w:szCs w:val="21"/>
              </w:rPr>
              <w:t xml:space="preserve">电压保护</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3.1.91</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电源</w:t>
            </w:r>
            <w:r>
              <w:rPr>
                <w:rFonts w:ascii="宋体" w:hAnsi="宋体"/>
                <w:szCs w:val="21"/>
              </w:rPr>
              <w:t xml:space="preserve">故障保护</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3.1.92</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上电</w:t>
            </w:r>
            <w:r>
              <w:rPr>
                <w:rFonts w:ascii="宋体" w:hAnsi="宋体"/>
                <w:szCs w:val="21"/>
              </w:rPr>
              <w:t xml:space="preserve">再平层</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3.1.93</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重复</w:t>
            </w:r>
            <w:r>
              <w:rPr>
                <w:rFonts w:ascii="宋体" w:hAnsi="宋体"/>
                <w:szCs w:val="21"/>
              </w:rPr>
              <w:t xml:space="preserve">关门</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3.1.94</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本层</w:t>
            </w:r>
            <w:r>
              <w:rPr>
                <w:rFonts w:ascii="宋体" w:hAnsi="宋体"/>
                <w:szCs w:val="21"/>
              </w:rPr>
              <w:t xml:space="preserve">再开门</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3.1.95</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逆行</w:t>
            </w:r>
            <w:r>
              <w:rPr>
                <w:rFonts w:ascii="宋体" w:hAnsi="宋体"/>
                <w:szCs w:val="21"/>
              </w:rPr>
              <w:t xml:space="preserve">保护</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3.1.96</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选层</w:t>
            </w:r>
            <w:r>
              <w:rPr>
                <w:rFonts w:ascii="宋体" w:hAnsi="宋体"/>
                <w:szCs w:val="21"/>
              </w:rPr>
              <w:t xml:space="preserve">器修正</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3.1.97</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安全</w:t>
            </w:r>
            <w:r>
              <w:rPr>
                <w:rFonts w:ascii="宋体" w:hAnsi="宋体"/>
                <w:szCs w:val="21"/>
              </w:rPr>
              <w:t xml:space="preserve">停靠</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3.1.98</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停层</w:t>
            </w:r>
            <w:r>
              <w:rPr>
                <w:rFonts w:ascii="宋体" w:hAnsi="宋体"/>
                <w:szCs w:val="21"/>
              </w:rPr>
              <w:t xml:space="preserve">开门</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3.1.99</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逆变</w:t>
            </w:r>
            <w:r>
              <w:rPr>
                <w:rFonts w:ascii="宋体" w:hAnsi="宋体"/>
                <w:szCs w:val="21"/>
              </w:rPr>
              <w:t xml:space="preserve">装置高温检测</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3.1.100</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终端</w:t>
            </w:r>
            <w:r>
              <w:rPr>
                <w:rFonts w:ascii="宋体" w:hAnsi="宋体"/>
                <w:szCs w:val="21"/>
              </w:rPr>
              <w:t xml:space="preserve">强制减速</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3.1.101</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轿厢</w:t>
            </w:r>
            <w:r>
              <w:rPr>
                <w:rFonts w:ascii="宋体" w:hAnsi="宋体"/>
                <w:szCs w:val="21"/>
              </w:rPr>
              <w:t xml:space="preserve">意外移动保护</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3.1.102</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过</w:t>
            </w:r>
            <w:r>
              <w:rPr>
                <w:rFonts w:ascii="宋体" w:hAnsi="宋体"/>
                <w:szCs w:val="21"/>
              </w:rPr>
              <w:t xml:space="preserve">低速保护</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3.1.103</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满员</w:t>
            </w:r>
            <w:r>
              <w:rPr>
                <w:rFonts w:ascii="宋体" w:hAnsi="宋体"/>
                <w:szCs w:val="21"/>
              </w:rPr>
              <w:t xml:space="preserve">自动通过</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3.1.104</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轿厢</w:t>
            </w:r>
            <w:r>
              <w:rPr>
                <w:rFonts w:ascii="宋体" w:hAnsi="宋体"/>
                <w:szCs w:val="21"/>
              </w:rPr>
              <w:t xml:space="preserve">到站电子谐音器</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3.1.105</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司机</w:t>
            </w:r>
            <w:r>
              <w:rPr>
                <w:rFonts w:ascii="宋体" w:hAnsi="宋体"/>
                <w:szCs w:val="21"/>
              </w:rPr>
              <w:t xml:space="preserve">服务</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3.1.106</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司机</w:t>
            </w:r>
            <w:r>
              <w:rPr>
                <w:rFonts w:ascii="宋体" w:hAnsi="宋体"/>
                <w:szCs w:val="21"/>
              </w:rPr>
              <w:t xml:space="preserve">服务指示</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3.1.107</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层站</w:t>
            </w:r>
            <w:r>
              <w:rPr>
                <w:rFonts w:ascii="宋体" w:hAnsi="宋体"/>
                <w:szCs w:val="21"/>
              </w:rPr>
              <w:t xml:space="preserve">直达运行指示</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3.1.108</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轿内</w:t>
            </w:r>
            <w:r>
              <w:rPr>
                <w:rFonts w:ascii="宋体" w:hAnsi="宋体"/>
                <w:szCs w:val="21"/>
              </w:rPr>
              <w:t xml:space="preserve">通风装置自动关闭</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3.1.109</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轿内</w:t>
            </w:r>
            <w:r>
              <w:rPr>
                <w:rFonts w:ascii="宋体" w:hAnsi="宋体"/>
                <w:szCs w:val="21"/>
              </w:rPr>
              <w:t xml:space="preserve">照明装置自动关闭</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3.1.110</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轿内误指令</w:t>
            </w:r>
            <w:r>
              <w:rPr>
                <w:rFonts w:ascii="宋体" w:hAnsi="宋体"/>
                <w:szCs w:val="21"/>
              </w:rPr>
              <w:t xml:space="preserve">自动消除</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3.1.111</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轿内</w:t>
            </w:r>
            <w:r>
              <w:rPr>
                <w:rFonts w:ascii="宋体" w:hAnsi="宋体"/>
                <w:szCs w:val="21"/>
              </w:rPr>
              <w:t xml:space="preserve">误指令人工消除（</w:t>
            </w:r>
            <w:r>
              <w:rPr>
                <w:rFonts w:hint="eastAsia" w:ascii="宋体" w:hAnsi="宋体"/>
                <w:szCs w:val="21"/>
              </w:rPr>
              <w:t xml:space="preserve">按钮型</w:t>
            </w:r>
            <w:r>
              <w:rPr>
                <w:rFonts w:ascii="宋体" w:hAnsi="宋体"/>
                <w:szCs w:val="21"/>
              </w:rPr>
              <w:t xml:space="preserve">）</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3.1.112</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消防</w:t>
            </w:r>
            <w:r>
              <w:rPr>
                <w:rFonts w:ascii="宋体" w:hAnsi="宋体"/>
                <w:szCs w:val="21"/>
              </w:rPr>
              <w:t xml:space="preserve">专用</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3.1.113</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轿内消防</w:t>
            </w:r>
            <w:r>
              <w:rPr>
                <w:rFonts w:ascii="宋体" w:hAnsi="宋体"/>
                <w:szCs w:val="21"/>
              </w:rPr>
              <w:t xml:space="preserve">运行指示</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3.1.114</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消防</w:t>
            </w:r>
            <w:r>
              <w:rPr>
                <w:rFonts w:ascii="宋体" w:hAnsi="宋体"/>
                <w:szCs w:val="21"/>
              </w:rPr>
              <w:t xml:space="preserve">返回</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3.1.115</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ITV电缆</w:t>
            </w:r>
            <w:r>
              <w:rPr>
                <w:rFonts w:ascii="宋体" w:hAnsi="宋体"/>
                <w:szCs w:val="21"/>
              </w:rPr>
              <w:t xml:space="preserve">（</w:t>
            </w:r>
            <w:r>
              <w:rPr>
                <w:rFonts w:hint="eastAsia" w:ascii="宋体" w:hAnsi="宋体"/>
                <w:szCs w:val="21"/>
              </w:rPr>
              <w:t xml:space="preserve">数字式</w:t>
            </w:r>
            <w:r>
              <w:rPr>
                <w:rFonts w:ascii="宋体" w:hAnsi="宋体"/>
                <w:szCs w:val="21"/>
              </w:rPr>
              <w:t xml:space="preserve">）</w:t>
            </w:r>
            <w:r>
              <w:rPr>
                <w:rFonts w:hint="eastAsia" w:ascii="宋体" w:hAnsi="宋体"/>
                <w:szCs w:val="21"/>
              </w:rPr>
            </w:r>
            <w:r/>
          </w:p>
        </w:tc>
      </w:tr>
      <w:tr>
        <w:trPr>
          <w:cantSplit/>
          <w:tblHeader/>
        </w:trPr>
        <w:tc>
          <w:tcPr>
            <w:tcBorders>
              <w:top w:val="single" w:color="000000" w:sz="4" w:space="0"/>
              <w:left w:val="single" w:color="000000" w:sz="6" w:space="0"/>
              <w:bottom w:val="single" w:color="000000" w:sz="4"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3.1.116</w:t>
            </w:r>
            <w:r/>
          </w:p>
        </w:tc>
        <w:tc>
          <w:tcPr>
            <w:tcBorders>
              <w:left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响铃</w:t>
            </w:r>
            <w:r>
              <w:rPr>
                <w:rFonts w:ascii="宋体" w:hAnsi="宋体"/>
                <w:szCs w:val="21"/>
              </w:rPr>
              <w:t xml:space="preserve">强制关门</w:t>
            </w:r>
            <w:r>
              <w:rPr>
                <w:rFonts w:hint="eastAsia" w:ascii="宋体" w:hAnsi="宋体"/>
                <w:szCs w:val="21"/>
              </w:rPr>
            </w:r>
            <w:r/>
          </w:p>
        </w:tc>
      </w:tr>
      <w:tr>
        <w:trPr>
          <w:cantSplit/>
          <w:tblHeader/>
        </w:trPr>
        <w:tc>
          <w:tcPr>
            <w:tcBorders>
              <w:top w:val="single" w:color="000000" w:sz="4" w:space="0"/>
              <w:left w:val="single" w:color="000000" w:sz="6" w:space="0"/>
              <w:bottom w:val="single" w:color="000000" w:sz="6" w:space="0"/>
              <w:right w:val="single" w:color="000000" w:sz="6" w:space="0"/>
            </w:tcBorders>
            <w:tcW w:w="519" w:type="pct"/>
            <w:vAlign w:val="top"/>
            <w:textDirection w:val="lrTb"/>
            <w:noWrap w:val="false"/>
          </w:tcPr>
          <w:p>
            <w:pPr>
              <w:pStyle w:val="860"/>
              <w:jc w:val="left"/>
              <w:widowControl/>
              <w:rPr>
                <w:rFonts w:hint="eastAsia" w:ascii="宋体" w:hAnsi="宋体"/>
                <w:szCs w:val="21"/>
              </w:rPr>
            </w:pPr>
            <w:r>
              <w:rPr>
                <w:rFonts w:hint="eastAsia" w:ascii="宋体" w:hAnsi="宋体"/>
                <w:szCs w:val="21"/>
              </w:rPr>
              <w:t xml:space="preserve">3.1.117</w:t>
            </w:r>
            <w:r/>
          </w:p>
        </w:tc>
        <w:tc>
          <w:tcPr>
            <w:tcBorders>
              <w:left w:val="single" w:color="000000" w:sz="6" w:space="0"/>
              <w:bottom w:val="single" w:color="000000" w:sz="6" w:space="0"/>
              <w:right w:val="single" w:color="000000" w:sz="6" w:space="0"/>
            </w:tcBorders>
            <w:tcW w:w="709" w:type="pct"/>
            <w:vAlign w:val="center"/>
            <w:vMerge w:val="continue"/>
            <w:textDirection w:val="lrTb"/>
            <w:noWrap w:val="false"/>
          </w:tcPr>
          <w:p>
            <w:pPr>
              <w:pStyle w:val="860"/>
              <w:jc w:val="left"/>
              <w:widowControl/>
              <w:rPr>
                <w:rFonts w:hint="eastAsia" w:ascii="宋体" w:hAnsi="宋体"/>
                <w:szCs w:val="21"/>
              </w:rPr>
            </w:pPr>
            <w:r>
              <w:rPr>
                <w:rFonts w:hint="eastAsia" w:ascii="宋体" w:hAnsi="宋体"/>
                <w:szCs w:val="21"/>
              </w:rPr>
            </w:r>
            <w:r/>
          </w:p>
        </w:tc>
        <w:tc>
          <w:tcPr>
            <w:gridSpan w:val="5"/>
            <w:tcBorders>
              <w:top w:val="single" w:color="000000" w:sz="6" w:space="0"/>
              <w:left w:val="single" w:color="000000" w:sz="6" w:space="0"/>
              <w:bottom w:val="single" w:color="000000" w:sz="6" w:space="0"/>
              <w:right w:val="single" w:color="000000" w:sz="6" w:space="0"/>
            </w:tcBorders>
            <w:tcW w:w="3771" w:type="pct"/>
            <w:vAlign w:val="center"/>
            <w:textDirection w:val="lrTb"/>
            <w:noWrap w:val="false"/>
          </w:tcPr>
          <w:p>
            <w:pPr>
              <w:pStyle w:val="860"/>
              <w:jc w:val="left"/>
              <w:widowControl/>
              <w:rPr>
                <w:rFonts w:hint="eastAsia" w:ascii="宋体" w:hAnsi="宋体"/>
                <w:szCs w:val="21"/>
              </w:rPr>
            </w:pPr>
            <w:r>
              <w:rPr>
                <w:rFonts w:hint="eastAsia" w:ascii="宋体" w:hAnsi="宋体"/>
                <w:szCs w:val="21"/>
              </w:rPr>
              <w:t xml:space="preserve">轿内</w:t>
            </w:r>
            <w:r>
              <w:rPr>
                <w:rFonts w:ascii="宋体" w:hAnsi="宋体"/>
                <w:szCs w:val="21"/>
              </w:rPr>
              <w:t xml:space="preserve">超载指示</w:t>
            </w:r>
            <w:r>
              <w:rPr>
                <w:rFonts w:hint="eastAsia" w:ascii="宋体" w:hAnsi="宋体"/>
                <w:szCs w:val="21"/>
              </w:rPr>
            </w:r>
            <w:r/>
          </w:p>
        </w:tc>
      </w:tr>
    </w:tbl>
    <w:p>
      <w:pPr>
        <w:pStyle w:val="860"/>
        <w:ind w:firstLine="480"/>
        <w:spacing w:line="264" w:lineRule="auto"/>
        <w:rPr>
          <w:rFonts w:ascii="宋体" w:hAnsi="宋体" w:cs="宋体"/>
          <w:bCs/>
          <w:sz w:val="24"/>
          <w:szCs w:val="24"/>
        </w:rPr>
      </w:pPr>
      <w:r>
        <w:rPr>
          <w:rFonts w:ascii="宋体" w:hAnsi="宋体" w:cs="宋体"/>
          <w:bCs/>
          <w:sz w:val="24"/>
          <w:szCs w:val="24"/>
        </w:rPr>
      </w:r>
      <w:r/>
    </w:p>
    <w:p>
      <w:pPr>
        <w:pStyle w:val="860"/>
        <w:spacing w:line="300" w:lineRule="exact"/>
        <w:tabs>
          <w:tab w:val="left" w:pos="993" w:leader="none"/>
        </w:tabs>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.2</w:t>
      </w:r>
      <w:r>
        <w:rPr>
          <w:rFonts w:hint="eastAsia" w:ascii="宋体" w:hAnsi="宋体"/>
          <w:sz w:val="24"/>
          <w:szCs w:val="24"/>
        </w:rPr>
        <w:t xml:space="preserve">电梯</w:t>
      </w:r>
      <w:r>
        <w:rPr>
          <w:rFonts w:ascii="宋体" w:hAnsi="宋体"/>
          <w:sz w:val="24"/>
          <w:szCs w:val="24"/>
        </w:rPr>
        <w:t xml:space="preserve">性能参数与技术指标</w:t>
      </w:r>
      <w:r>
        <w:rPr>
          <w:rFonts w:hint="eastAsia" w:ascii="宋体" w:hAnsi="宋体"/>
          <w:sz w:val="24"/>
          <w:szCs w:val="24"/>
        </w:rPr>
        <w:t xml:space="preserve">（不低于以下要求）</w:t>
      </w:r>
      <w:r/>
    </w:p>
    <w:p>
      <w:pPr>
        <w:pStyle w:val="860"/>
        <w:ind w:left="993" w:hanging="993"/>
        <w:spacing w:line="300" w:lineRule="exact"/>
        <w:tabs>
          <w:tab w:val="left" w:pos="993" w:leader="none"/>
        </w:tabs>
        <w:rPr>
          <w:rFonts w:hint="eastAsia" w:ascii="宋体" w:hAnsi="宋体" w:cs="宋体"/>
          <w:spacing w:val="-2"/>
          <w:sz w:val="24"/>
          <w:szCs w:val="24"/>
          <w:u w:val="single"/>
        </w:rPr>
      </w:pPr>
      <w:r>
        <w:rPr>
          <w:rFonts w:hint="eastAsia" w:ascii="宋体" w:hAnsi="宋体" w:cs="宋体"/>
          <w:spacing w:val="-2"/>
          <w:sz w:val="24"/>
          <w:szCs w:val="24"/>
        </w:rPr>
        <w:t xml:space="preserve">3.2.1</w:t>
        <w:tab/>
      </w:r>
      <w:r>
        <w:rPr>
          <w:rFonts w:hint="eastAsia" w:ascii="宋体" w:hAnsi="宋体" w:cs="宋体"/>
          <w:bCs/>
          <w:sz w:val="24"/>
          <w:szCs w:val="24"/>
          <w:lang w:val="zh-CN"/>
        </w:rPr>
        <w:t xml:space="preserve">★</w:t>
      </w:r>
      <w:r>
        <w:rPr>
          <w:rFonts w:ascii="宋体" w:hAnsi="宋体" w:cs="宋体"/>
          <w:spacing w:val="-2"/>
          <w:sz w:val="24"/>
          <w:szCs w:val="24"/>
        </w:rPr>
        <w:t xml:space="preserve">驱动部分：</w:t>
      </w:r>
      <w:r>
        <w:rPr>
          <w:rFonts w:hint="eastAsia" w:ascii="宋体" w:hAnsi="宋体" w:eastAsia="等线" w:cs="宋体"/>
          <w:sz w:val="24"/>
          <w:szCs w:val="24"/>
          <w:lang w:val="zh-CN"/>
        </w:rPr>
        <w:t xml:space="preserve">永磁同步无齿轮曳引机</w:t>
      </w:r>
      <w:r>
        <w:rPr>
          <w:rFonts w:hint="eastAsia" w:ascii="宋体" w:hAnsi="宋体" w:cs="宋体"/>
          <w:spacing w:val="-2"/>
          <w:sz w:val="24"/>
          <w:szCs w:val="24"/>
          <w:u w:val="single"/>
        </w:rPr>
      </w:r>
      <w:r/>
    </w:p>
    <w:p>
      <w:pPr>
        <w:pStyle w:val="860"/>
        <w:ind w:left="993" w:hanging="993"/>
        <w:spacing w:line="300" w:lineRule="exact"/>
        <w:tabs>
          <w:tab w:val="left" w:pos="993" w:leader="none"/>
        </w:tabs>
        <w:rPr>
          <w:rFonts w:hint="eastAsia" w:ascii="宋体" w:hAnsi="宋体" w:cs="宋体"/>
          <w:spacing w:val="-2"/>
          <w:sz w:val="24"/>
          <w:szCs w:val="24"/>
        </w:rPr>
      </w:pPr>
      <w:r>
        <w:rPr>
          <w:rFonts w:hint="eastAsia" w:ascii="宋体" w:hAnsi="宋体" w:cs="宋体"/>
          <w:spacing w:val="-2"/>
          <w:sz w:val="24"/>
          <w:szCs w:val="24"/>
        </w:rPr>
        <w:t xml:space="preserve">3.2.2</w:t>
        <w:tab/>
      </w:r>
      <w:r>
        <w:rPr>
          <w:rFonts w:hint="eastAsia" w:ascii="宋体" w:hAnsi="宋体" w:cs="宋体"/>
          <w:spacing w:val="-2"/>
          <w:sz w:val="24"/>
          <w:szCs w:val="24"/>
        </w:rPr>
        <w:t xml:space="preserve">★控制系统：控制柜为微电脑控制，全电脑模块化VVVF变频变压调速控制。具备电梯群控和目的选层功能：能够实现目的选层，即首层（1号楼2楼）大厅配备2个物理控制屏选择所去楼层，每台电梯首层配备带声光提示器、目的楼层显示器（去往哪些楼层），其余楼层配备按钮及层显一体式召唤面板，电梯轿厢同样配备楼层按钮，系统监测各楼层使用频率及人流密度，动态调整电梯响应策略和停靠逻辑，优先调度空闲电梯，可设置高优先级响应功能（VIP专梯）；群控系统开放通用接口； （备注：目的选层功能可根据院方要求进行免费调整（包括关闭、重启等））</w:t>
      </w:r>
      <w:r/>
    </w:p>
    <w:p>
      <w:pPr>
        <w:pStyle w:val="860"/>
        <w:ind w:left="993" w:hanging="993"/>
        <w:spacing w:line="300" w:lineRule="exact"/>
        <w:tabs>
          <w:tab w:val="left" w:pos="993" w:leader="none"/>
        </w:tabs>
        <w:rPr>
          <w:rFonts w:hint="eastAsia" w:ascii="宋体" w:hAnsi="宋体" w:cs="宋体"/>
          <w:spacing w:val="-2"/>
          <w:sz w:val="24"/>
          <w:szCs w:val="24"/>
        </w:rPr>
      </w:pPr>
      <w:r>
        <w:rPr>
          <w:rFonts w:hint="eastAsia" w:ascii="宋体" w:hAnsi="宋体" w:cs="宋体"/>
          <w:spacing w:val="-2"/>
          <w:sz w:val="24"/>
          <w:szCs w:val="24"/>
        </w:rPr>
        <w:t xml:space="preserve">3.2.3</w:t>
        <w:tab/>
      </w:r>
      <w:r>
        <w:rPr>
          <w:rFonts w:ascii="宋体" w:hAnsi="宋体" w:cs="宋体"/>
          <w:spacing w:val="-2"/>
          <w:sz w:val="24"/>
          <w:szCs w:val="24"/>
        </w:rPr>
        <w:t xml:space="preserve">轿厢、轿门</w:t>
      </w:r>
      <w:r>
        <w:rPr>
          <w:rFonts w:hint="eastAsia" w:ascii="宋体" w:hAnsi="宋体" w:cs="宋体"/>
          <w:spacing w:val="-2"/>
          <w:sz w:val="24"/>
          <w:szCs w:val="24"/>
        </w:rPr>
      </w:r>
      <w:r/>
    </w:p>
    <w:p>
      <w:pPr>
        <w:pStyle w:val="860"/>
        <w:ind w:left="1138" w:hanging="1138"/>
        <w:spacing w:line="300" w:lineRule="exact"/>
        <w:tabs>
          <w:tab w:val="left" w:pos="993" w:leader="none"/>
        </w:tabs>
        <w:rPr>
          <w:rFonts w:hint="eastAsia" w:ascii="宋体" w:hAnsi="宋体" w:cs="宋体"/>
          <w:spacing w:val="-2"/>
          <w:sz w:val="24"/>
          <w:szCs w:val="24"/>
        </w:rPr>
      </w:pPr>
      <w:r>
        <w:rPr>
          <w:rFonts w:hint="eastAsia" w:ascii="宋体" w:hAnsi="宋体" w:cs="宋体"/>
          <w:spacing w:val="-2"/>
          <w:sz w:val="24"/>
          <w:szCs w:val="24"/>
        </w:rPr>
        <w:t xml:space="preserve">3.2.3.1</w:t>
        <w:tab/>
        <w:t xml:space="preserve">▲</w:t>
      </w:r>
      <w:r>
        <w:rPr>
          <w:rFonts w:ascii="宋体" w:hAnsi="宋体" w:cs="宋体"/>
          <w:spacing w:val="-2"/>
          <w:sz w:val="24"/>
          <w:szCs w:val="24"/>
        </w:rPr>
        <w:t xml:space="preserve">所有厅门轿门采用发纹304不锈钢材质，厚度≥1.</w:t>
      </w:r>
      <w:r>
        <w:rPr>
          <w:rFonts w:hint="eastAsia" w:ascii="宋体" w:hAnsi="宋体" w:cs="宋体"/>
          <w:spacing w:val="-2"/>
          <w:sz w:val="24"/>
          <w:szCs w:val="24"/>
        </w:rPr>
        <w:t xml:space="preserve">5</w:t>
      </w:r>
      <w:r>
        <w:rPr>
          <w:rFonts w:ascii="宋体" w:hAnsi="宋体" w:cs="宋体"/>
          <w:spacing w:val="-2"/>
          <w:sz w:val="24"/>
          <w:szCs w:val="24"/>
        </w:rPr>
        <w:t xml:space="preserve">mm；轿厢壁为发纹304不锈钢，</w:t>
      </w:r>
      <w:r>
        <w:rPr>
          <w:rFonts w:hint="eastAsia" w:ascii="宋体" w:hAnsi="宋体" w:cs="宋体"/>
          <w:spacing w:val="-2"/>
          <w:sz w:val="24"/>
          <w:szCs w:val="24"/>
        </w:rPr>
      </w:r>
      <w:r/>
    </w:p>
    <w:p>
      <w:pPr>
        <w:pStyle w:val="860"/>
        <w:ind w:left="1157" w:hanging="1157"/>
        <w:spacing w:line="300" w:lineRule="exact"/>
        <w:tabs>
          <w:tab w:val="left" w:pos="993" w:leader="none"/>
        </w:tabs>
        <w:rPr>
          <w:rFonts w:hint="eastAsia" w:ascii="宋体" w:hAnsi="宋体" w:cs="宋体"/>
          <w:sz w:val="24"/>
          <w:szCs w:val="24"/>
        </w:rPr>
      </w:pPr>
      <w:r>
        <w:rPr>
          <w:rFonts w:hint="eastAsia" w:ascii="宋体" w:hAnsi="宋体" w:cs="宋体"/>
          <w:sz w:val="24"/>
          <w:szCs w:val="24"/>
        </w:rPr>
        <w:t xml:space="preserve">3.2.3.2</w:t>
        <w:tab/>
      </w:r>
      <w:r>
        <w:rPr>
          <w:rFonts w:ascii="宋体" w:hAnsi="宋体" w:cs="宋体"/>
          <w:sz w:val="24"/>
          <w:szCs w:val="24"/>
        </w:rPr>
        <w:t xml:space="preserve">轿厢顶：天花板为标准图案，LED照明设备（提供产品样本不少于5种图案供</w:t>
      </w:r>
      <w:r>
        <w:rPr>
          <w:rFonts w:hint="eastAsia" w:ascii="宋体" w:hAnsi="宋体" w:cs="宋体"/>
          <w:sz w:val="24"/>
          <w:szCs w:val="24"/>
        </w:rPr>
        <w:t xml:space="preserve">采购人</w:t>
      </w:r>
      <w:r>
        <w:rPr>
          <w:rFonts w:ascii="宋体" w:hAnsi="宋体" w:cs="宋体"/>
          <w:sz w:val="24"/>
          <w:szCs w:val="24"/>
        </w:rPr>
        <w:t xml:space="preserve">选择）。</w:t>
      </w:r>
      <w:r>
        <w:rPr>
          <w:rFonts w:hint="eastAsia" w:ascii="宋体" w:hAnsi="宋体" w:cs="宋体"/>
          <w:sz w:val="24"/>
          <w:szCs w:val="24"/>
        </w:rPr>
      </w:r>
      <w:r/>
    </w:p>
    <w:p>
      <w:pPr>
        <w:pStyle w:val="860"/>
        <w:ind w:left="1157" w:hanging="1157"/>
        <w:spacing w:line="300" w:lineRule="exact"/>
        <w:tabs>
          <w:tab w:val="left" w:pos="993" w:leader="none"/>
        </w:tabs>
        <w:rPr>
          <w:rFonts w:hint="eastAsia" w:ascii="宋体" w:hAnsi="宋体" w:cs="宋体"/>
          <w:sz w:val="24"/>
          <w:szCs w:val="24"/>
        </w:rPr>
      </w:pPr>
      <w:r>
        <w:rPr>
          <w:rFonts w:hint="eastAsia" w:ascii="宋体" w:hAnsi="宋体" w:cs="宋体"/>
          <w:sz w:val="24"/>
          <w:szCs w:val="24"/>
        </w:rPr>
        <w:t xml:space="preserve">3.2.3.3</w:t>
        <w:tab/>
      </w:r>
      <w:r>
        <w:rPr>
          <w:rFonts w:hint="eastAsia" w:ascii="宋体" w:hAnsi="宋体" w:cs="宋体"/>
          <w:spacing w:val="-2"/>
          <w:sz w:val="24"/>
          <w:szCs w:val="24"/>
        </w:rPr>
        <w:t xml:space="preserve">▲</w:t>
      </w:r>
      <w:r>
        <w:rPr>
          <w:rFonts w:hint="eastAsia" w:ascii="宋体" w:hAnsi="宋体" w:cs="宋体"/>
          <w:sz w:val="24"/>
          <w:szCs w:val="24"/>
        </w:rPr>
        <w:t xml:space="preserve">通风：换气扇不少于两扇</w:t>
      </w:r>
      <w:r/>
    </w:p>
    <w:p>
      <w:pPr>
        <w:pStyle w:val="860"/>
        <w:ind w:left="993" w:hanging="993"/>
        <w:spacing w:line="300" w:lineRule="exact"/>
        <w:tabs>
          <w:tab w:val="left" w:pos="993" w:leader="none"/>
        </w:tabs>
        <w:rPr>
          <w:rFonts w:hint="eastAsia" w:ascii="宋体" w:hAnsi="宋体" w:cs="宋体"/>
          <w:spacing w:val="-2"/>
          <w:sz w:val="24"/>
          <w:szCs w:val="24"/>
        </w:rPr>
      </w:pPr>
      <w:r>
        <w:rPr>
          <w:rFonts w:hint="eastAsia" w:ascii="宋体" w:hAnsi="宋体" w:cs="宋体"/>
          <w:spacing w:val="-2"/>
          <w:sz w:val="24"/>
          <w:szCs w:val="24"/>
        </w:rPr>
        <w:t xml:space="preserve">3.2.4</w:t>
        <w:tab/>
      </w:r>
      <w:r>
        <w:rPr>
          <w:rFonts w:ascii="宋体" w:hAnsi="宋体" w:cs="宋体"/>
          <w:spacing w:val="-2"/>
          <w:sz w:val="24"/>
          <w:szCs w:val="24"/>
        </w:rPr>
        <w:t xml:space="preserve">轿厢内</w:t>
      </w:r>
      <w:r>
        <w:rPr>
          <w:rFonts w:hint="eastAsia" w:ascii="宋体" w:hAnsi="宋体" w:cs="宋体"/>
          <w:spacing w:val="-2"/>
          <w:sz w:val="24"/>
          <w:szCs w:val="24"/>
        </w:rPr>
        <w:t xml:space="preserve">双</w:t>
      </w:r>
      <w:r>
        <w:rPr>
          <w:rFonts w:ascii="宋体" w:hAnsi="宋体" w:cs="宋体"/>
          <w:spacing w:val="-2"/>
          <w:sz w:val="24"/>
          <w:szCs w:val="24"/>
        </w:rPr>
        <w:t xml:space="preserve">操作盘</w:t>
      </w:r>
      <w:r>
        <w:rPr>
          <w:rFonts w:hint="eastAsia" w:ascii="宋体" w:hAnsi="宋体" w:cs="宋体"/>
          <w:spacing w:val="-2"/>
          <w:sz w:val="24"/>
          <w:szCs w:val="24"/>
        </w:rPr>
        <w:t xml:space="preserve">：</w:t>
      </w:r>
      <w:r/>
    </w:p>
    <w:p>
      <w:pPr>
        <w:pStyle w:val="860"/>
        <w:spacing w:line="300" w:lineRule="exact"/>
        <w:tabs>
          <w:tab w:val="left" w:pos="993" w:leader="none"/>
        </w:tabs>
        <w:rPr>
          <w:rFonts w:hint="eastAsia" w:ascii="宋体" w:hAnsi="宋体" w:cs="宋体"/>
          <w:spacing w:val="-2"/>
          <w:sz w:val="24"/>
          <w:szCs w:val="24"/>
        </w:rPr>
      </w:pPr>
      <w:r>
        <w:rPr>
          <w:rFonts w:hint="eastAsia" w:ascii="宋体" w:hAnsi="宋体" w:cs="宋体"/>
          <w:spacing w:val="-2"/>
          <w:sz w:val="24"/>
          <w:szCs w:val="24"/>
        </w:rPr>
        <w:t xml:space="preserve">3.2.4.1</w:t>
        <w:tab/>
        <w:t xml:space="preserve">数字型楼层指示器；</w:t>
      </w:r>
      <w:r/>
    </w:p>
    <w:p>
      <w:pPr>
        <w:pStyle w:val="860"/>
        <w:spacing w:line="300" w:lineRule="exact"/>
        <w:tabs>
          <w:tab w:val="left" w:pos="993" w:leader="none"/>
        </w:tabs>
        <w:rPr>
          <w:rFonts w:hint="eastAsia" w:ascii="宋体" w:hAnsi="宋体" w:cs="宋体"/>
          <w:spacing w:val="-2"/>
          <w:sz w:val="24"/>
          <w:szCs w:val="24"/>
        </w:rPr>
      </w:pPr>
      <w:r>
        <w:rPr>
          <w:rFonts w:hint="eastAsia" w:ascii="宋体" w:hAnsi="宋体" w:cs="宋体"/>
          <w:spacing w:val="-2"/>
          <w:sz w:val="24"/>
          <w:szCs w:val="24"/>
        </w:rPr>
        <w:t xml:space="preserve">3.2.4.2</w:t>
        <w:tab/>
        <w:t xml:space="preserve">具有与停靠层同数之微触式楼层按钮；</w:t>
      </w:r>
      <w:r/>
    </w:p>
    <w:p>
      <w:pPr>
        <w:pStyle w:val="860"/>
        <w:spacing w:line="300" w:lineRule="exact"/>
        <w:tabs>
          <w:tab w:val="left" w:pos="993" w:leader="none"/>
        </w:tabs>
        <w:rPr>
          <w:rFonts w:hint="eastAsia" w:ascii="宋体" w:hAnsi="宋体" w:cs="宋体"/>
          <w:spacing w:val="-2"/>
          <w:sz w:val="24"/>
          <w:szCs w:val="24"/>
        </w:rPr>
      </w:pPr>
      <w:r>
        <w:rPr>
          <w:rFonts w:hint="eastAsia" w:ascii="宋体" w:hAnsi="宋体" w:cs="宋体"/>
          <w:spacing w:val="-2"/>
          <w:sz w:val="24"/>
          <w:szCs w:val="24"/>
        </w:rPr>
        <w:t xml:space="preserve">3.2.4.</w:t>
      </w:r>
      <w:r>
        <w:rPr>
          <w:rFonts w:hint="eastAsia" w:ascii="宋体" w:hAnsi="宋体" w:cs="宋体"/>
          <w:spacing w:val="-2"/>
          <w:sz w:val="24"/>
          <w:szCs w:val="24"/>
        </w:rPr>
        <w:t xml:space="preserve">3</w:t>
        <w:tab/>
        <w:t xml:space="preserve">上升与下降方向指示；</w:t>
      </w:r>
      <w:r/>
    </w:p>
    <w:p>
      <w:pPr>
        <w:pStyle w:val="860"/>
        <w:spacing w:line="300" w:lineRule="exact"/>
        <w:tabs>
          <w:tab w:val="left" w:pos="993" w:leader="none"/>
        </w:tabs>
        <w:rPr>
          <w:rFonts w:hint="eastAsia" w:ascii="宋体" w:hAnsi="宋体" w:cs="宋体"/>
          <w:spacing w:val="-2"/>
          <w:sz w:val="24"/>
          <w:szCs w:val="24"/>
        </w:rPr>
      </w:pPr>
      <w:r>
        <w:rPr>
          <w:rFonts w:hint="eastAsia" w:ascii="宋体" w:hAnsi="宋体" w:cs="宋体"/>
          <w:spacing w:val="-2"/>
          <w:sz w:val="24"/>
          <w:szCs w:val="24"/>
        </w:rPr>
        <w:t xml:space="preserve">3.2.4.4</w:t>
        <w:tab/>
        <w:t xml:space="preserve">紧急呼叫按钮（</w:t>
      </w:r>
      <w:r>
        <w:rPr>
          <w:rFonts w:ascii="宋体" w:hAnsi="宋体" w:cs="宋体"/>
          <w:spacing w:val="-2"/>
          <w:sz w:val="24"/>
          <w:szCs w:val="24"/>
        </w:rPr>
        <w:t xml:space="preserve">ALARM</w:t>
      </w:r>
      <w:r>
        <w:rPr>
          <w:rFonts w:hint="eastAsia" w:ascii="宋体" w:hAnsi="宋体" w:cs="宋体"/>
          <w:spacing w:val="-2"/>
          <w:sz w:val="24"/>
          <w:szCs w:val="24"/>
        </w:rPr>
        <w:t xml:space="preserve">）；</w:t>
      </w:r>
      <w:r/>
    </w:p>
    <w:p>
      <w:pPr>
        <w:pStyle w:val="860"/>
        <w:spacing w:line="300" w:lineRule="exact"/>
        <w:tabs>
          <w:tab w:val="left" w:pos="993" w:leader="none"/>
        </w:tabs>
        <w:rPr>
          <w:rFonts w:hint="eastAsia" w:ascii="宋体" w:hAnsi="宋体" w:cs="宋体"/>
          <w:spacing w:val="-2"/>
          <w:sz w:val="24"/>
          <w:szCs w:val="24"/>
        </w:rPr>
      </w:pPr>
      <w:r>
        <w:rPr>
          <w:rFonts w:hint="eastAsia" w:ascii="宋体" w:hAnsi="宋体" w:cs="宋体"/>
          <w:spacing w:val="-2"/>
          <w:sz w:val="24"/>
          <w:szCs w:val="24"/>
        </w:rPr>
        <w:t xml:space="preserve">3.2.4.5</w:t>
        <w:tab/>
        <w:t xml:space="preserve">开门及关门微触式按钮各一个，并以图形表示；</w:t>
      </w:r>
      <w:r/>
    </w:p>
    <w:p>
      <w:pPr>
        <w:pStyle w:val="860"/>
        <w:spacing w:line="300" w:lineRule="exact"/>
        <w:tabs>
          <w:tab w:val="left" w:pos="993" w:leader="none"/>
        </w:tabs>
        <w:rPr>
          <w:rFonts w:hint="eastAsia" w:ascii="宋体" w:hAnsi="宋体" w:cs="宋体"/>
          <w:spacing w:val="-2"/>
          <w:sz w:val="24"/>
          <w:szCs w:val="24"/>
        </w:rPr>
      </w:pPr>
      <w:r>
        <w:rPr>
          <w:rFonts w:hint="eastAsia" w:ascii="宋体" w:hAnsi="宋体" w:cs="宋体"/>
          <w:spacing w:val="-2"/>
          <w:sz w:val="24"/>
          <w:szCs w:val="24"/>
        </w:rPr>
        <w:t xml:space="preserve">3.2.4.6</w:t>
        <w:tab/>
        <w:t xml:space="preserve">隐蔽式对讲机；</w:t>
      </w:r>
      <w:r/>
    </w:p>
    <w:p>
      <w:pPr>
        <w:pStyle w:val="860"/>
        <w:spacing w:line="300" w:lineRule="exact"/>
        <w:tabs>
          <w:tab w:val="left" w:pos="993" w:leader="none"/>
        </w:tabs>
        <w:rPr>
          <w:rFonts w:hint="eastAsia" w:ascii="宋体" w:hAnsi="宋体" w:cs="宋体"/>
          <w:spacing w:val="-2"/>
          <w:sz w:val="24"/>
          <w:szCs w:val="24"/>
        </w:rPr>
      </w:pPr>
      <w:r>
        <w:rPr>
          <w:rFonts w:hint="eastAsia" w:ascii="宋体" w:hAnsi="宋体" w:cs="宋体"/>
          <w:spacing w:val="-2"/>
          <w:sz w:val="24"/>
          <w:szCs w:val="24"/>
        </w:rPr>
        <w:t xml:space="preserve">3.2.4.7</w:t>
        <w:tab/>
      </w:r>
      <w:r>
        <w:rPr>
          <w:rFonts w:ascii="宋体" w:hAnsi="宋体" w:cs="宋体"/>
          <w:spacing w:val="-2"/>
          <w:sz w:val="24"/>
          <w:szCs w:val="24"/>
        </w:rPr>
        <w:t xml:space="preserve">标示厂牌，用途、乘人数、限载重量及操作说明；</w:t>
      </w:r>
      <w:r>
        <w:rPr>
          <w:rFonts w:hint="eastAsia" w:ascii="宋体" w:hAnsi="宋体" w:cs="宋体"/>
          <w:spacing w:val="-2"/>
          <w:sz w:val="24"/>
          <w:szCs w:val="24"/>
        </w:rPr>
      </w:r>
      <w:r/>
    </w:p>
    <w:p>
      <w:pPr>
        <w:pStyle w:val="860"/>
        <w:spacing w:line="300" w:lineRule="exact"/>
        <w:tabs>
          <w:tab w:val="left" w:pos="993" w:leader="none"/>
        </w:tabs>
        <w:rPr>
          <w:rFonts w:hint="eastAsia" w:ascii="宋体" w:hAnsi="宋体" w:cs="宋体"/>
          <w:spacing w:val="-2"/>
          <w:sz w:val="24"/>
          <w:szCs w:val="24"/>
        </w:rPr>
      </w:pPr>
      <w:r>
        <w:rPr>
          <w:rFonts w:hint="eastAsia" w:ascii="宋体" w:hAnsi="宋体" w:cs="宋体"/>
          <w:spacing w:val="-2"/>
          <w:sz w:val="24"/>
          <w:szCs w:val="24"/>
        </w:rPr>
        <w:t xml:space="preserve">3.2.4.8</w:t>
        <w:tab/>
        <w:t xml:space="preserve">一个以钥匙操作之开关箱内有照明开关，风扇开关；</w:t>
      </w:r>
      <w:r/>
    </w:p>
    <w:p>
      <w:pPr>
        <w:pStyle w:val="860"/>
        <w:spacing w:line="300" w:lineRule="exact"/>
        <w:tabs>
          <w:tab w:val="left" w:pos="993" w:leader="none"/>
        </w:tabs>
        <w:rPr>
          <w:rFonts w:hint="eastAsia" w:ascii="宋体" w:hAnsi="宋体" w:cs="宋体"/>
          <w:spacing w:val="-2"/>
          <w:sz w:val="24"/>
          <w:szCs w:val="24"/>
        </w:rPr>
      </w:pPr>
      <w:r>
        <w:rPr>
          <w:rFonts w:hint="eastAsia" w:ascii="宋体" w:hAnsi="宋体" w:cs="宋体"/>
          <w:spacing w:val="-2"/>
          <w:sz w:val="24"/>
          <w:szCs w:val="24"/>
        </w:rPr>
        <w:t xml:space="preserve">3.2.4.9</w:t>
        <w:tab/>
      </w:r>
      <w:r>
        <w:rPr>
          <w:rFonts w:ascii="宋体" w:hAnsi="宋体" w:cs="宋体"/>
          <w:spacing w:val="-2"/>
          <w:sz w:val="24"/>
          <w:szCs w:val="24"/>
        </w:rPr>
        <w:t xml:space="preserve">操作盘面板上端附加“禁烟”两字。</w:t>
      </w:r>
      <w:r>
        <w:rPr>
          <w:rFonts w:hint="eastAsia" w:ascii="宋体" w:hAnsi="宋体" w:cs="宋体"/>
          <w:spacing w:val="-2"/>
          <w:sz w:val="24"/>
          <w:szCs w:val="24"/>
        </w:rPr>
      </w:r>
      <w:r/>
    </w:p>
    <w:p>
      <w:pPr>
        <w:pStyle w:val="860"/>
        <w:spacing w:line="300" w:lineRule="exact"/>
        <w:tabs>
          <w:tab w:val="left" w:pos="993" w:leader="none"/>
        </w:tabs>
        <w:rPr>
          <w:rFonts w:hint="eastAsia" w:ascii="宋体" w:hAnsi="宋体" w:cs="宋体"/>
          <w:sz w:val="24"/>
          <w:szCs w:val="24"/>
        </w:rPr>
      </w:pPr>
      <w:r>
        <w:rPr>
          <w:rFonts w:hint="eastAsia" w:ascii="宋体" w:hAnsi="宋体" w:cs="宋体"/>
          <w:sz w:val="24"/>
          <w:szCs w:val="24"/>
        </w:rPr>
        <w:t xml:space="preserve">3.2.4.10</w:t>
        <w:tab/>
      </w:r>
      <w:r>
        <w:rPr>
          <w:rFonts w:hint="eastAsia" w:ascii="宋体" w:hAnsi="宋体" w:cs="宋体"/>
          <w:spacing w:val="-2"/>
          <w:sz w:val="24"/>
          <w:szCs w:val="24"/>
        </w:rPr>
        <w:t xml:space="preserve">▲</w:t>
      </w:r>
      <w:r>
        <w:rPr>
          <w:rFonts w:hint="eastAsia" w:ascii="宋体" w:hAnsi="宋体" w:cs="宋体"/>
          <w:sz w:val="24"/>
          <w:szCs w:val="24"/>
        </w:rPr>
        <w:t xml:space="preserve">轿厢内三侧需配置304不锈钢扶手</w:t>
      </w:r>
      <w:r/>
    </w:p>
    <w:p>
      <w:pPr>
        <w:pStyle w:val="860"/>
        <w:spacing w:line="300" w:lineRule="exact"/>
        <w:tabs>
          <w:tab w:val="left" w:pos="993" w:leader="none"/>
        </w:tabs>
        <w:rPr>
          <w:rFonts w:hint="eastAsia" w:ascii="宋体" w:hAnsi="宋体" w:cs="宋体"/>
          <w:spacing w:val="-2"/>
          <w:sz w:val="24"/>
          <w:szCs w:val="24"/>
        </w:rPr>
      </w:pPr>
      <w:r>
        <w:rPr>
          <w:rFonts w:hint="eastAsia" w:ascii="宋体" w:hAnsi="宋体" w:cs="宋体"/>
          <w:spacing w:val="-2"/>
          <w:sz w:val="24"/>
          <w:szCs w:val="24"/>
        </w:rPr>
        <w:t xml:space="preserve">3.2.5</w:t>
        <w:tab/>
        <w:t xml:space="preserve">地坎：硬质铝合金</w:t>
      </w:r>
      <w:r/>
    </w:p>
    <w:p>
      <w:pPr>
        <w:pStyle w:val="860"/>
        <w:spacing w:line="300" w:lineRule="exact"/>
        <w:tabs>
          <w:tab w:val="left" w:pos="993" w:leader="none"/>
        </w:tabs>
        <w:rPr>
          <w:rFonts w:hint="eastAsia" w:ascii="宋体" w:hAnsi="宋体" w:cs="宋体"/>
          <w:spacing w:val="-2"/>
          <w:sz w:val="24"/>
          <w:szCs w:val="24"/>
        </w:rPr>
      </w:pPr>
      <w:r>
        <w:rPr>
          <w:rFonts w:hint="eastAsia" w:ascii="宋体" w:hAnsi="宋体" w:cs="宋体"/>
          <w:spacing w:val="-2"/>
          <w:sz w:val="24"/>
          <w:szCs w:val="24"/>
        </w:rPr>
        <w:t xml:space="preserve">3.2.6</w:t>
        <w:tab/>
        <w:t xml:space="preserve">▲</w:t>
      </w:r>
      <w:r>
        <w:rPr>
          <w:rFonts w:ascii="宋体" w:hAnsi="宋体" w:cs="宋体"/>
          <w:spacing w:val="-2"/>
          <w:sz w:val="24"/>
          <w:szCs w:val="24"/>
        </w:rPr>
        <w:t xml:space="preserve">地板：PVC地板（提供产品样本不少于5种图案供采购人选择）</w:t>
      </w:r>
      <w:r>
        <w:rPr>
          <w:rFonts w:hint="eastAsia" w:ascii="宋体" w:hAnsi="宋体" w:cs="宋体"/>
          <w:spacing w:val="-2"/>
          <w:sz w:val="24"/>
          <w:szCs w:val="24"/>
        </w:rPr>
      </w:r>
      <w:r/>
    </w:p>
    <w:p>
      <w:pPr>
        <w:pStyle w:val="860"/>
        <w:spacing w:line="300" w:lineRule="exact"/>
        <w:tabs>
          <w:tab w:val="left" w:pos="993" w:leader="none"/>
        </w:tabs>
        <w:rPr>
          <w:rFonts w:hint="eastAsia" w:ascii="宋体" w:hAnsi="宋体" w:cs="宋体"/>
          <w:spacing w:val="-2"/>
          <w:sz w:val="24"/>
          <w:szCs w:val="24"/>
        </w:rPr>
      </w:pPr>
      <w:r>
        <w:rPr>
          <w:rFonts w:hint="eastAsia" w:ascii="宋体" w:hAnsi="宋体" w:cs="宋体"/>
          <w:spacing w:val="-2"/>
          <w:sz w:val="24"/>
          <w:szCs w:val="24"/>
        </w:rPr>
        <w:t xml:space="preserve">3.2.7</w:t>
        <w:tab/>
      </w:r>
      <w:r>
        <w:rPr>
          <w:rFonts w:hint="eastAsia" w:ascii="宋体" w:hAnsi="宋体" w:cs="宋体"/>
          <w:bCs/>
          <w:sz w:val="24"/>
          <w:szCs w:val="24"/>
          <w:lang w:val="zh-CN"/>
        </w:rPr>
        <w:t xml:space="preserve">★</w:t>
      </w:r>
      <w:r>
        <w:rPr>
          <w:rFonts w:hint="eastAsia" w:ascii="宋体" w:hAnsi="宋体" w:cs="宋体"/>
          <w:spacing w:val="-2"/>
          <w:sz w:val="24"/>
          <w:szCs w:val="24"/>
        </w:rPr>
        <w:t xml:space="preserve">消防：带消防迫降功能。</w:t>
      </w:r>
      <w:r/>
    </w:p>
    <w:p>
      <w:pPr>
        <w:pStyle w:val="860"/>
        <w:spacing w:line="300" w:lineRule="exact"/>
        <w:tabs>
          <w:tab w:val="left" w:pos="993" w:leader="none"/>
        </w:tabs>
        <w:rPr>
          <w:rFonts w:hint="eastAsia" w:ascii="宋体" w:hAnsi="宋体" w:cs="宋体"/>
          <w:spacing w:val="-2"/>
          <w:sz w:val="24"/>
          <w:szCs w:val="24"/>
        </w:rPr>
      </w:pPr>
      <w:r>
        <w:rPr>
          <w:rFonts w:hint="eastAsia" w:ascii="宋体" w:hAnsi="宋体" w:cs="宋体"/>
          <w:spacing w:val="-2"/>
          <w:sz w:val="24"/>
          <w:szCs w:val="24"/>
        </w:rPr>
        <w:t xml:space="preserve">3.2.8    配置一体式能量反馈装置</w:t>
      </w:r>
      <w:r/>
    </w:p>
    <w:p>
      <w:pPr>
        <w:pStyle w:val="860"/>
        <w:spacing w:line="300" w:lineRule="exact"/>
        <w:tabs>
          <w:tab w:val="left" w:pos="993" w:leader="none"/>
        </w:tabs>
        <w:rPr>
          <w:rFonts w:hint="eastAsia" w:ascii="宋体" w:hAnsi="宋体" w:cs="宋体"/>
          <w:spacing w:val="-2"/>
          <w:sz w:val="24"/>
          <w:szCs w:val="24"/>
        </w:rPr>
      </w:pPr>
      <w:r>
        <w:rPr>
          <w:rFonts w:hint="eastAsia" w:ascii="宋体" w:hAnsi="宋体" w:cs="宋体"/>
          <w:spacing w:val="-2"/>
          <w:sz w:val="24"/>
          <w:szCs w:val="24"/>
        </w:rPr>
        <w:t xml:space="preserve">3.2.9    电磁兼容EMC（提供EMC证书）</w:t>
      </w:r>
      <w:r/>
    </w:p>
    <w:p>
      <w:pPr>
        <w:pStyle w:val="860"/>
        <w:spacing w:line="300" w:lineRule="exact"/>
        <w:tabs>
          <w:tab w:val="left" w:pos="993" w:leader="none"/>
        </w:tabs>
        <w:rPr>
          <w:rFonts w:hint="eastAsia" w:ascii="宋体" w:hAnsi="宋体" w:cs="宋体"/>
          <w:spacing w:val="-2"/>
          <w:sz w:val="24"/>
          <w:szCs w:val="24"/>
        </w:rPr>
      </w:pPr>
      <w:r>
        <w:rPr>
          <w:rFonts w:hint="eastAsia" w:ascii="宋体" w:hAnsi="宋体" w:cs="宋体"/>
          <w:spacing w:val="-2"/>
          <w:sz w:val="24"/>
          <w:szCs w:val="24"/>
        </w:rPr>
        <w:t xml:space="preserve">3.2.10   抗菌按钮及扶手</w:t>
      </w:r>
      <w:r/>
    </w:p>
    <w:p>
      <w:pPr>
        <w:pStyle w:val="860"/>
        <w:spacing w:line="300" w:lineRule="exact"/>
        <w:tabs>
          <w:tab w:val="left" w:pos="993" w:leader="none"/>
        </w:tabs>
        <w:rPr>
          <w:rFonts w:hint="eastAsia" w:ascii="宋体" w:hAnsi="宋体" w:cs="宋体"/>
          <w:spacing w:val="-2"/>
          <w:sz w:val="24"/>
          <w:szCs w:val="24"/>
        </w:rPr>
      </w:pPr>
      <w:r>
        <w:rPr>
          <w:rFonts w:hint="eastAsia" w:ascii="宋体" w:hAnsi="宋体" w:cs="宋体"/>
          <w:spacing w:val="-2"/>
          <w:sz w:val="24"/>
          <w:szCs w:val="24"/>
        </w:rPr>
        <w:t xml:space="preserve">3.2.11   ▲轿厢门楣多媒体显示屏</w:t>
      </w:r>
      <w:r/>
    </w:p>
    <w:p>
      <w:pPr>
        <w:pStyle w:val="860"/>
        <w:spacing w:line="300" w:lineRule="exact"/>
        <w:tabs>
          <w:tab w:val="left" w:pos="993" w:leader="none"/>
        </w:tabs>
        <w:rPr>
          <w:rFonts w:hint="eastAsia" w:ascii="宋体" w:hAnsi="宋体" w:cs="宋体"/>
          <w:spacing w:val="-2"/>
          <w:sz w:val="24"/>
          <w:szCs w:val="24"/>
        </w:rPr>
      </w:pPr>
      <w:r>
        <w:rPr>
          <w:rFonts w:hint="eastAsia" w:ascii="宋体" w:hAnsi="宋体" w:cs="宋体"/>
          <w:spacing w:val="-2"/>
          <w:sz w:val="24"/>
          <w:szCs w:val="24"/>
        </w:rPr>
        <w:t xml:space="preserve">3.2.12   ▲轿厢单冷空调（≧1.0匹）</w:t>
      </w:r>
      <w:r/>
    </w:p>
    <w:p>
      <w:pPr>
        <w:pStyle w:val="860"/>
        <w:spacing w:line="264" w:lineRule="auto"/>
        <w:rPr>
          <w:rFonts w:hint="eastAsia" w:ascii="宋体" w:hAnsi="宋体"/>
          <w:sz w:val="24"/>
        </w:rPr>
      </w:pPr>
      <w:r>
        <w:rPr>
          <w:rFonts w:hint="eastAsia" w:ascii="宋体" w:hAnsi="宋体"/>
          <w:sz w:val="24"/>
        </w:rPr>
      </w:r>
      <w:r/>
    </w:p>
    <w:p>
      <w:pPr>
        <w:pStyle w:val="860"/>
        <w:ind w:firstLine="480"/>
        <w:spacing w:line="264" w:lineRule="auto"/>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（2）供应商</w:t>
      </w:r>
      <w:r>
        <w:rPr>
          <w:rFonts w:hint="eastAsia" w:ascii="宋体" w:hAnsi="宋体" w:cs="宋体"/>
          <w:sz w:val="24"/>
          <w:szCs w:val="24"/>
        </w:rPr>
        <w:t xml:space="preserve">的任何错漏、优惠、竞争性报价不得作为减轻责任、减少服务、增加收费、降低服务质量的理由。</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本</w:t>
      </w:r>
      <w:r>
        <w:rPr>
          <w:rFonts w:hint="eastAsia" w:ascii="宋体" w:hAnsi="宋体" w:cs="宋体"/>
          <w:sz w:val="24"/>
          <w:szCs w:val="24"/>
        </w:rPr>
        <w:t xml:space="preserve">项目</w:t>
      </w:r>
      <w:r>
        <w:rPr>
          <w:rFonts w:ascii="宋体" w:hAnsi="宋体" w:cs="宋体"/>
          <w:sz w:val="24"/>
          <w:szCs w:val="24"/>
        </w:rPr>
        <w:t xml:space="preserve">为交钥匙项目，</w:t>
      </w:r>
      <w:r>
        <w:rPr>
          <w:rFonts w:hint="eastAsia" w:ascii="宋体" w:hAnsi="宋体" w:cs="宋体"/>
          <w:sz w:val="24"/>
          <w:szCs w:val="24"/>
        </w:rPr>
        <w:t xml:space="preserve">投标人在测算投标报价时，除了招标文件规定的条件外，还需包含下列因素：一是井</w:t>
      </w:r>
      <w:r>
        <w:rPr>
          <w:rFonts w:ascii="宋体" w:hAnsi="宋体" w:cs="宋体"/>
          <w:sz w:val="24"/>
          <w:szCs w:val="24"/>
        </w:rPr>
        <w:t xml:space="preserve">道</w:t>
      </w:r>
      <w:r>
        <w:rPr>
          <w:rFonts w:hint="eastAsia" w:ascii="宋体" w:hAnsi="宋体" w:cs="宋体"/>
          <w:sz w:val="24"/>
          <w:szCs w:val="24"/>
        </w:rPr>
        <w:t xml:space="preserve">吊钩</w:t>
      </w:r>
      <w:r>
        <w:rPr>
          <w:rFonts w:ascii="宋体" w:hAnsi="宋体" w:cs="宋体"/>
          <w:sz w:val="24"/>
          <w:szCs w:val="24"/>
        </w:rPr>
        <w:t xml:space="preserve">整改</w:t>
      </w:r>
      <w:r>
        <w:rPr>
          <w:rFonts w:hint="eastAsia" w:ascii="宋体" w:hAnsi="宋体" w:cs="宋体"/>
          <w:sz w:val="24"/>
          <w:szCs w:val="24"/>
        </w:rPr>
        <w:t xml:space="preserve">及旧梯拆除回收费用</w:t>
      </w:r>
      <w:r>
        <w:rPr>
          <w:rFonts w:ascii="宋体" w:hAnsi="宋体" w:cs="宋体"/>
          <w:sz w:val="24"/>
          <w:szCs w:val="24"/>
        </w:rPr>
        <w:t xml:space="preserve">；</w:t>
      </w:r>
      <w:r>
        <w:rPr>
          <w:rFonts w:hint="eastAsia" w:ascii="宋体" w:hAnsi="宋体" w:cs="宋体"/>
          <w:sz w:val="24"/>
          <w:szCs w:val="24"/>
        </w:rPr>
        <w:tab/>
        <w:t xml:space="preserve">二是</w:t>
      </w:r>
      <w:r>
        <w:rPr>
          <w:rFonts w:ascii="宋体" w:hAnsi="宋体" w:cs="宋体"/>
          <w:sz w:val="24"/>
          <w:szCs w:val="24"/>
        </w:rPr>
        <w:t xml:space="preserve">包装、运输、装卸、保险费（指设备运抵现场所发生的费用）；</w:t>
      </w:r>
      <w:r>
        <w:rPr>
          <w:rFonts w:hint="eastAsia" w:ascii="宋体" w:hAnsi="宋体" w:cs="宋体"/>
          <w:sz w:val="24"/>
          <w:szCs w:val="24"/>
        </w:rPr>
        <w:t xml:space="preserve">三是进口</w:t>
      </w:r>
      <w:r>
        <w:rPr>
          <w:rFonts w:ascii="宋体" w:hAnsi="宋体" w:cs="宋体"/>
          <w:sz w:val="24"/>
          <w:szCs w:val="24"/>
        </w:rPr>
        <w:t xml:space="preserve">部件商检等费用（商检包含工地商检）；</w:t>
      </w:r>
      <w:r>
        <w:rPr>
          <w:rFonts w:hint="eastAsia" w:ascii="宋体" w:hAnsi="宋体" w:cs="宋体"/>
          <w:sz w:val="24"/>
          <w:szCs w:val="24"/>
        </w:rPr>
        <w:t xml:space="preserve"> 四是</w:t>
      </w:r>
      <w:r>
        <w:rPr>
          <w:rFonts w:ascii="宋体" w:hAnsi="宋体" w:cs="宋体"/>
          <w:sz w:val="24"/>
          <w:szCs w:val="24"/>
        </w:rPr>
        <w:t xml:space="preserve">安装、调试费</w:t>
      </w:r>
      <w:r>
        <w:rPr>
          <w:rFonts w:hint="eastAsia" w:ascii="宋体" w:hAnsi="宋体" w:cs="宋体"/>
          <w:sz w:val="24"/>
          <w:szCs w:val="24"/>
        </w:rPr>
        <w:t xml:space="preserve">（</w:t>
      </w:r>
      <w:r>
        <w:rPr>
          <w:rFonts w:ascii="宋体" w:hAnsi="宋体" w:cs="宋体"/>
          <w:sz w:val="24"/>
          <w:szCs w:val="24"/>
        </w:rPr>
        <w:t xml:space="preserve">包含</w:t>
      </w:r>
      <w:r>
        <w:rPr>
          <w:rFonts w:hint="eastAsia" w:ascii="宋体" w:hAnsi="宋体" w:cs="宋体"/>
          <w:sz w:val="24"/>
          <w:szCs w:val="24"/>
        </w:rPr>
        <w:t xml:space="preserve">：</w:t>
      </w:r>
      <w:r>
        <w:rPr>
          <w:rFonts w:ascii="宋体" w:hAnsi="宋体" w:cs="宋体"/>
          <w:sz w:val="24"/>
          <w:szCs w:val="24"/>
        </w:rPr>
        <w:t xml:space="preserve">结构支架、脚手架、吊装、预埋件、井道爬梯、临时用电线路铺设及电费、井道照明等合理费用</w:t>
      </w:r>
      <w:r>
        <w:rPr>
          <w:rFonts w:hint="eastAsia" w:ascii="宋体" w:hAnsi="宋体" w:cs="宋体"/>
          <w:sz w:val="24"/>
          <w:szCs w:val="24"/>
        </w:rPr>
        <w:t xml:space="preserve">）；</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充分自主踏勘施工现场的前提下，对现有状况做出准确判断；且基于现场实际条件、对将来可能发生的任何状况，须做出准确的预判、须对与电梯有关的事项，进行深化设计</w:t>
      </w:r>
      <w:r>
        <w:rPr>
          <w:rFonts w:hint="eastAsia" w:ascii="宋体" w:hAnsi="宋体" w:cs="宋体"/>
          <w:sz w:val="24"/>
          <w:szCs w:val="24"/>
        </w:rPr>
        <w:t xml:space="preserve">,</w:t>
      </w:r>
      <w:r>
        <w:rPr>
          <w:rFonts w:ascii="宋体" w:hAnsi="宋体" w:cs="宋体"/>
          <w:sz w:val="24"/>
          <w:szCs w:val="24"/>
        </w:rPr>
        <w:t xml:space="preserve">对将来可能发生的所有费用，均</w:t>
      </w:r>
      <w:r>
        <w:rPr>
          <w:rFonts w:hint="eastAsia" w:ascii="宋体" w:hAnsi="宋体" w:cs="宋体"/>
          <w:sz w:val="24"/>
          <w:szCs w:val="24"/>
        </w:rPr>
        <w:t xml:space="preserve">须</w:t>
      </w:r>
      <w:r>
        <w:rPr>
          <w:rFonts w:ascii="宋体" w:hAnsi="宋体" w:cs="宋体"/>
          <w:sz w:val="24"/>
          <w:szCs w:val="24"/>
        </w:rPr>
        <w:t xml:space="preserve">包含在本次报价中</w:t>
      </w:r>
      <w:r>
        <w:rPr>
          <w:rFonts w:hint="eastAsia" w:ascii="宋体" w:hAnsi="宋体" w:cs="宋体"/>
          <w:sz w:val="24"/>
          <w:szCs w:val="24"/>
        </w:rPr>
        <w:t xml:space="preserve">，</w:t>
      </w:r>
      <w:r>
        <w:rPr>
          <w:rFonts w:ascii="宋体" w:hAnsi="宋体" w:cs="宋体"/>
          <w:sz w:val="24"/>
          <w:szCs w:val="24"/>
        </w:rPr>
        <w:t xml:space="preserve">投标人不以任何理由向招标人提出追加费用、或提出任何的配合费用。质量监督部门监检、验收和发放使用许可证的相关费用</w:t>
      </w:r>
      <w:r>
        <w:rPr>
          <w:rFonts w:hint="eastAsia" w:ascii="宋体" w:hAnsi="宋体" w:cs="宋体"/>
          <w:sz w:val="24"/>
          <w:szCs w:val="24"/>
        </w:rPr>
        <w:t xml:space="preserve">；60</w:t>
      </w:r>
      <w:r>
        <w:rPr>
          <w:rFonts w:ascii="宋体" w:hAnsi="宋体" w:cs="宋体"/>
          <w:sz w:val="24"/>
          <w:szCs w:val="24"/>
        </w:rPr>
        <w:t xml:space="preserve">个月免费保养的费用及投标人认为需要的其他费用等（招标人仅提供无预埋铁件的井道与底坑）。</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本</w:t>
      </w:r>
      <w:r>
        <w:rPr>
          <w:rFonts w:hint="eastAsia" w:ascii="宋体" w:hAnsi="宋体" w:cs="宋体"/>
          <w:sz w:val="24"/>
          <w:szCs w:val="24"/>
        </w:rPr>
        <w:t xml:space="preserve">项目</w:t>
      </w:r>
      <w:r>
        <w:rPr>
          <w:rFonts w:ascii="宋体" w:hAnsi="宋体" w:cs="宋体"/>
          <w:sz w:val="24"/>
          <w:szCs w:val="24"/>
        </w:rPr>
        <w:t xml:space="preserve">井道尺寸无法变更，投标人安装时如需整改，请将相关费用考虑在投标报价中，</w:t>
      </w:r>
      <w:r>
        <w:rPr>
          <w:rFonts w:hint="eastAsia" w:ascii="宋体" w:hAnsi="宋体" w:cs="宋体"/>
          <w:sz w:val="24"/>
          <w:szCs w:val="24"/>
        </w:rPr>
        <w:t xml:space="preserve">采购人</w:t>
      </w:r>
      <w:r>
        <w:rPr>
          <w:rFonts w:ascii="宋体" w:hAnsi="宋体" w:cs="宋体"/>
          <w:sz w:val="24"/>
          <w:szCs w:val="24"/>
        </w:rPr>
        <w:t xml:space="preserve">不另行支付整改发生的费用</w:t>
      </w:r>
      <w:r>
        <w:rPr>
          <w:rFonts w:hint="eastAsia" w:ascii="宋体" w:hAnsi="宋体" w:cs="宋体"/>
          <w:sz w:val="24"/>
          <w:szCs w:val="24"/>
        </w:rPr>
        <w:t xml:space="preserve">。</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本项目报价中，包含原旧电梯的设备拆除、拆除现场清理、搬运至指定地点以及配合办理报废手续的费用，投标人在报价时，应自行考虑由此产生的费用，相关费用应包含在本次报价中，并在附表1《拆除费用表》中列明，未提供将视为无效响应。</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实施要求</w:t>
      </w:r>
      <w:r/>
    </w:p>
    <w:p>
      <w:pPr>
        <w:pStyle w:val="860"/>
        <w:ind w:firstLine="480"/>
        <w:spacing w:line="264" w:lineRule="auto"/>
        <w:rPr>
          <w:rFonts w:ascii="宋体" w:hAnsi="宋体" w:cs="宋体"/>
          <w:sz w:val="24"/>
          <w:szCs w:val="24"/>
        </w:rPr>
      </w:pPr>
      <w:r>
        <w:rPr>
          <w:rFonts w:ascii="宋体" w:hAnsi="宋体" w:cs="宋体"/>
          <w:sz w:val="24"/>
          <w:szCs w:val="24"/>
        </w:rPr>
        <w:t xml:space="preserve">（1）</w:t>
      </w:r>
      <w:r>
        <w:rPr>
          <w:rFonts w:ascii="宋体" w:hAnsi="宋体" w:cs="宋体"/>
          <w:sz w:val="24"/>
          <w:szCs w:val="24"/>
        </w:rPr>
        <w:t xml:space="preserve">总体要求</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①本项目为改造更换新电梯项目，投标人应考虑原井道空间等问题，中标后必须再次实地测量，并提供详细电梯安装施工图纸、图纸的优化等，并且组织采购人、相关单位、相关人员进行技术交底；</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②新安装完成的电梯应与现场所有楼层的门厅、门洞等无缝对接；投标人负责做好电梯拆除及安装时的全封闭施工，确保医院工作人员正常办公使用和施工期人员的安全，由此带来的相关所有费用含在报价中。</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③本项目所有电梯必需安装电梯安全运行监控系统（具备手机访问和后期与特种设备监管部门平台对接功能）；</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④投标人应承担且不限于下列内容：电梯井内脚手架、电梯井道安装预埋、所有电梯设备及配套附件等内容；</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⑤电梯设备自运抵用户现场至交付使用过程中的看护防盗工作由投标人自行负责，由于看管不利等造成的损失，由投标</w:t>
      </w:r>
      <w:r>
        <w:rPr>
          <w:rFonts w:hint="eastAsia" w:ascii="宋体" w:hAnsi="宋体" w:cs="宋体"/>
          <w:sz w:val="24"/>
          <w:szCs w:val="24"/>
        </w:rPr>
        <w:t xml:space="preserve">人自行承担；</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⑥在不影响医院正常医疗情况下，有效组织好现场的电梯拆除及安装工作，并不得要求增加任何费用和延长现场安装施工周期。</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⑦投标人负责做好施工区域范围内已完成的成品保护工作，成品保护费用含在投标报价中，如投标人在电梯拆除及安装施工中造成采购人已完成的成品损坏的，由投标人负责赔偿、修复并处罚款。</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⑧货物到达采购人地址至验收合格期间，由投标人负责保管，若因保管不当造成的质量问题，投标人应负责修理，同时费用由投标人承担。</w:t>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质量要求</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①投标人应保证货物是全新、未使用过的原装合格正品。</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②投标人应保证提供的产品不得侵犯第三方专利权、商标权和工业设计权、版权等。否则投标人应负全部责任，并承担由此引起的一切后果。</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③投标人提供的货物必须符合国家有关质量技术标准及相关法律、法规规定的要求。</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④投标人应保证其货物在正常使用时，其使用寿命期内应具有良好的性能。货物最终验收后，投标人应对由于设计、工艺或材料的缺陷而发生的任何不足或质量问题负责，并承担由此引起的一切后果。</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验收要求</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①验收标准：投标人提供的商品必须符合我国最新颁布的与之相关的技术规范与标准，同时必须满足招、投标文件中所列全部规格、型号、具体配置、技</w:t>
      </w:r>
      <w:r>
        <w:rPr>
          <w:rFonts w:hint="eastAsia" w:ascii="宋体" w:hAnsi="宋体" w:cs="宋体"/>
          <w:sz w:val="24"/>
          <w:szCs w:val="24"/>
        </w:rPr>
        <w:t xml:space="preserve">术条件及功能要求和投标人承诺的其它指标。</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②投标人完成自检及第三方检测后，采购人、投标人、第三方检测机构按采购文件以及合同相关条款要求共同对货物进行验收，并最终签字确认。</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③验收合格后，投标人须提交以下资料：</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A.装箱清单；</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B.产品出厂合格证；</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C.如有进口部件，应提供原产地证明、报关证明、完税证明及检验检疫证明；</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D.使用维护说明书、安装说明书及部件安装图；</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E.电器敷线图；</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F.动力电路和安全电路的电器线路示意图及符号说明；</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G.需要土建配合安装的详细图纸和资料（以现有现场实际土建为准）；</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H.提供设备检验合格证；</w:t>
      </w:r>
      <w:r>
        <w:rPr>
          <w:rFonts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质保（维保）及售后要求（整梯质保五年）</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①自验收合格之日起至质保期结束，均须由所投电梯制造商直接承担维保和维修工作（合同签订时提供承诺函）。质保期内投标人应提供至少每半</w:t>
      </w:r>
      <w:bookmarkStart w:id="197" w:name="OLE_LINK8"/>
      <w:r/>
      <w:bookmarkStart w:id="198" w:name="OLE_LINK9"/>
      <w:r>
        <w:rPr>
          <w:rFonts w:hint="eastAsia" w:ascii="宋体" w:hAnsi="宋体" w:cs="宋体"/>
          <w:sz w:val="24"/>
          <w:szCs w:val="24"/>
        </w:rPr>
        <w:t xml:space="preserve">月</w:t>
      </w:r>
      <w:bookmarkEnd w:id="197"/>
      <w:r/>
      <w:bookmarkEnd w:id="198"/>
      <w:r>
        <w:rPr>
          <w:rFonts w:hint="eastAsia" w:ascii="宋体" w:hAnsi="宋体" w:cs="宋体"/>
          <w:sz w:val="24"/>
          <w:szCs w:val="24"/>
        </w:rPr>
        <w:t xml:space="preserve">一次的现场巡检服务，由技术人员到现场检测维护，保证设备的正常安全运行；质保期内维修费用（人为因素除外）包含在投标总价中，质保期外提供不高于市场价格的维保服务。</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②质保期内，原厂提供维保服务（签订合同时提供电梯制造商出具的原厂质保承诺函并加盖原厂公章），提供24小时应急服务，电梯的紧急故障应 30分钟内赶到现场并及时排除</w:t>
      </w:r>
      <w:r>
        <w:rPr>
          <w:rFonts w:hint="eastAsia" w:ascii="宋体" w:hAnsi="宋体" w:cs="宋体"/>
          <w:sz w:val="24"/>
          <w:szCs w:val="24"/>
        </w:rPr>
        <w:t xml:space="preserve">故障。普通故障，涉及常用配件如光幕、门吊轮、继电器动作异常等问题，恢复时间不超过 24小时。中大故障，如曳引轮、主板等配件及涉及主机、变频器等配件，恢复时间原则上不超过48小时，相关费用应考虑在本次报价中，发生时采购人不再另行支付。如投标人在接到通知后30分钟内没有答复，则视为承认质量问题并承担由此发生的一切费用。质保期内产品的一切质量问题，更换部件及产品本身质量原因造成的直接经济损失全部由投标人负责。无法短时间完成维修的，应向采购人提供应急备用产品。 </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③质保期内，相关更换设备备件耗材、维修人员的往返差旅费费、人工费、维修所需备件的搬运费、安装调试费以及系统软件升级等一切费用均包含在本次报价中。质保期外，投标人提供维保服务，保证零配件的供给，投标人维修只收取配件费，不收取其他费用（包含但不限于维修人员的往返差旅费费、人工费、上门服务费、维修所需备件的搬运费、安装调试费以及系统软件升级等）。</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④维修配件的更换：要求为原厂配件，如需更换配件，需采购人单位签字确认。投标人所提供的备件必须是原厂的合格零备件，零备件具有原厂出库单/报关单等证明文件。</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⑤质保期内提供不限次数现场维修，更换所含备件及耗材，质量监督部门检</w:t>
      </w:r>
      <w:r>
        <w:rPr>
          <w:rFonts w:hint="eastAsia" w:ascii="宋体" w:hAnsi="宋体" w:cs="宋体"/>
          <w:sz w:val="24"/>
          <w:szCs w:val="24"/>
        </w:rPr>
        <w:t xml:space="preserve">验、验收和发放使用许可证及电梯保险的相关费用应包含在本次报价中，发生时采购人不再另行支付。</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⑥提供设备的系统软件及硬件的安全性改版升级和技术支持，相关费用应考虑在本次报价中，发生时采购人不再另行支付。</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⑦</w:t>
      </w:r>
      <w:r>
        <w:rPr>
          <w:rFonts w:ascii="宋体" w:hAnsi="宋体" w:cs="宋体"/>
          <w:sz w:val="24"/>
          <w:szCs w:val="24"/>
        </w:rPr>
        <w:t xml:space="preserve">合</w:t>
      </w:r>
      <w:r>
        <w:rPr>
          <w:rFonts w:hint="eastAsia" w:ascii="宋体" w:hAnsi="宋体" w:cs="宋体"/>
          <w:sz w:val="24"/>
          <w:szCs w:val="24"/>
        </w:rPr>
        <w:t xml:space="preserve">同履约期内投标人须无条件配合采购人及相关部门的审计、监督和延伸审计。</w:t>
      </w:r>
      <w:r/>
    </w:p>
    <w:p>
      <w:pPr>
        <w:pStyle w:val="860"/>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pStyle w:val="860"/>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pStyle w:val="860"/>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150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rPr>
          <w:rFonts w:ascii="宋体" w:hAnsi="宋体" w:cs="宋体"/>
          <w:sz w:val="24"/>
          <w:szCs w:val="24"/>
        </w:rPr>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pStyle w:val="860"/>
        <w:ind w:firstLine="480"/>
        <w:spacing w:line="264" w:lineRule="auto"/>
        <w:rPr>
          <w:rFonts w:hint="eastAsia"/>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rPr>
      </w:r>
      <w:r/>
    </w:p>
    <w:p>
      <w:pPr>
        <w:pStyle w:val="860"/>
        <w:ind w:firstLine="480"/>
        <w:spacing w:line="264" w:lineRule="auto"/>
        <w:rPr>
          <w:rFonts w:hint="eastAsia" w:ascii="宋体" w:hAnsi="宋体" w:cs="宋体"/>
          <w:bCs/>
          <w:sz w:val="24"/>
          <w:szCs w:val="24"/>
        </w:rPr>
      </w:pPr>
      <w:r/>
      <w:bookmarkStart w:id="199" w:name="OLE_LINK1"/>
      <w:r>
        <w:rPr>
          <w:rFonts w:hint="eastAsia" w:ascii="宋体" w:hAnsi="宋体" w:cs="宋体"/>
          <w:bCs/>
          <w:sz w:val="24"/>
          <w:szCs w:val="24"/>
        </w:rPr>
        <w:t xml:space="preserve">6.其他要求</w:t>
      </w:r>
      <w:r/>
    </w:p>
    <w:p>
      <w:pPr>
        <w:pStyle w:val="860"/>
        <w:ind w:firstLine="480"/>
        <w:spacing w:line="264" w:lineRule="auto"/>
        <w:rPr>
          <w:rFonts w:hint="eastAsia" w:ascii="宋体" w:hAnsi="宋体" w:cs="宋体"/>
          <w:sz w:val="24"/>
          <w:szCs w:val="24"/>
        </w:rPr>
      </w:pPr>
      <w:r/>
      <w:bookmarkEnd w:id="199"/>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941"/>
        <w:rPr>
          <w:rFonts w:hint="eastAsia"/>
        </w:rPr>
      </w:pPr>
      <w:r>
        <w:rPr>
          <w:rFonts w:hint="eastAsia"/>
        </w:rPr>
      </w:r>
      <w:r/>
    </w:p>
    <w:p>
      <w:pPr>
        <w:pStyle w:val="860"/>
        <w:rPr>
          <w:rFonts w:hint="eastAsia" w:ascii="宋体" w:hAnsi="宋体" w:cs="宋体"/>
          <w:sz w:val="24"/>
          <w:szCs w:val="24"/>
        </w:rPr>
      </w:pPr>
      <w:r>
        <w:rPr>
          <w:rFonts w:hint="eastAsia" w:ascii="宋体" w:hAnsi="宋体" w:cs="宋体"/>
          <w:sz w:val="24"/>
          <w:szCs w:val="24"/>
        </w:rPr>
      </w:r>
      <w:r/>
    </w:p>
    <w:p>
      <w:pPr>
        <w:pStyle w:val="860"/>
        <w:ind w:firstLine="482"/>
        <w:spacing w:line="264" w:lineRule="auto"/>
        <w:rPr>
          <w:rFonts w:ascii="宋体" w:hAnsi="宋体" w:cs="宋体"/>
          <w:b/>
          <w:bCs/>
          <w:sz w:val="24"/>
          <w:szCs w:val="24"/>
        </w:rPr>
      </w:pPr>
      <w:r/>
      <w:bookmarkStart w:id="200" w:name="_Toc120614281"/>
      <w:r>
        <w:rPr>
          <w:rFonts w:hint="eastAsia" w:ascii="宋体" w:hAnsi="宋体" w:cs="宋体"/>
          <w:b/>
          <w:bCs/>
          <w:sz w:val="24"/>
          <w:szCs w:val="24"/>
        </w:rPr>
        <w:t xml:space="preserve">附件：</w:t>
      </w:r>
      <w:r>
        <w:rPr>
          <w:rFonts w:ascii="宋体" w:hAnsi="宋体" w:cs="宋体"/>
          <w:b/>
          <w:bCs/>
          <w:sz w:val="24"/>
          <w:szCs w:val="24"/>
        </w:rPr>
      </w:r>
      <w:r/>
    </w:p>
    <w:p>
      <w:pPr>
        <w:pStyle w:val="932"/>
      </w:pPr>
      <w:r>
        <w:rPr>
          <w:rFonts w:hint="eastAsia"/>
        </w:rPr>
        <w:t xml:space="preserve">附表1：《拆除费用表》</w:t>
      </w:r>
      <w:r/>
    </w:p>
    <w:p>
      <w:pPr>
        <w:pStyle w:val="860"/>
        <w:ind w:firstLine="420"/>
      </w:pPr>
      <w:r>
        <w:rPr>
          <w:rFonts w:hint="eastAsia"/>
        </w:rPr>
        <w:t xml:space="preserve">附表2：质保期满后的年维保价格清单（参考格式）</w:t>
      </w:r>
      <w:r/>
    </w:p>
    <w:p>
      <w:pPr>
        <w:pStyle w:val="932"/>
        <w:rPr>
          <w:rFonts w:hint="eastAsia"/>
        </w:rPr>
      </w:pPr>
      <w:r>
        <w:rPr>
          <w:rFonts w:hint="eastAsia"/>
        </w:rPr>
        <w:t xml:space="preserve">附表3：</w:t>
      </w:r>
      <w:r>
        <w:rPr>
          <w:rFonts w:hint="eastAsia"/>
          <w:bCs/>
        </w:rPr>
        <w:t xml:space="preserve">原旧电梯情况</w:t>
      </w:r>
      <w:r>
        <w:rPr>
          <w:rFonts w:hint="eastAsia"/>
        </w:rPr>
      </w:r>
      <w:r/>
    </w:p>
    <w:p>
      <w:pPr>
        <w:pStyle w:val="873"/>
        <w:rPr>
          <w:lang w:eastAsia="zh-CN"/>
        </w:rPr>
      </w:pPr>
      <w:r>
        <w:rPr>
          <w:rFonts w:hint="eastAsia"/>
          <w:lang w:eastAsia="zh-CN"/>
        </w:rPr>
        <w:t xml:space="preserve">附表1：《拆除费用表》</w:t>
      </w:r>
      <w:r>
        <w:rPr>
          <w:lang w:eastAsia="zh-CN"/>
        </w:rPr>
      </w:r>
      <w:r/>
    </w:p>
    <w:tbl>
      <w:tblPr>
        <w:tblW w:w="5092"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32"/>
        <w:gridCol w:w="2570"/>
        <w:gridCol w:w="6740"/>
      </w:tblGrid>
      <w:tr>
        <w:trPr>
          <w:trHeight w:val="470"/>
        </w:trPr>
        <w:tc>
          <w:tcPr>
            <w:tcW w:w="631" w:type="dxa"/>
            <w:vAlign w:val="center"/>
            <w:textDirection w:val="lrTb"/>
            <w:noWrap w:val="false"/>
          </w:tcPr>
          <w:p>
            <w:pPr>
              <w:pStyle w:val="860"/>
              <w:jc w:val="center"/>
              <w:spacing w:line="264" w:lineRule="auto"/>
              <w:rPr>
                <w:rFonts w:hint="eastAsia" w:ascii="宋体" w:hAnsi="宋体" w:cs="Courier New"/>
                <w:sz w:val="24"/>
                <w:szCs w:val="24"/>
              </w:rPr>
            </w:pPr>
            <w:r>
              <w:rPr>
                <w:rFonts w:hint="eastAsia" w:ascii="宋体" w:hAnsi="宋体" w:cs="Courier New"/>
                <w:sz w:val="24"/>
                <w:szCs w:val="24"/>
              </w:rPr>
              <w:t xml:space="preserve">序号</w:t>
            </w:r>
            <w:r/>
          </w:p>
        </w:tc>
        <w:tc>
          <w:tcPr>
            <w:tcW w:w="2566" w:type="dxa"/>
            <w:vAlign w:val="center"/>
            <w:textDirection w:val="lrTb"/>
            <w:noWrap w:val="false"/>
          </w:tcPr>
          <w:p>
            <w:pPr>
              <w:pStyle w:val="860"/>
              <w:jc w:val="center"/>
              <w:spacing w:line="264" w:lineRule="auto"/>
              <w:rPr>
                <w:rFonts w:hint="eastAsia" w:ascii="宋体" w:hAnsi="宋体" w:cs="Courier New"/>
                <w:sz w:val="24"/>
                <w:szCs w:val="24"/>
              </w:rPr>
            </w:pPr>
            <w:r>
              <w:rPr>
                <w:rFonts w:hint="eastAsia" w:ascii="宋体" w:hAnsi="宋体" w:cs="Courier New"/>
                <w:sz w:val="24"/>
                <w:szCs w:val="24"/>
              </w:rPr>
              <w:t xml:space="preserve">分项名称</w:t>
            </w:r>
            <w:r/>
          </w:p>
        </w:tc>
        <w:tc>
          <w:tcPr>
            <w:tcW w:w="6729" w:type="dxa"/>
            <w:vAlign w:val="center"/>
            <w:textDirection w:val="lrTb"/>
            <w:noWrap w:val="false"/>
          </w:tcPr>
          <w:p>
            <w:pPr>
              <w:pStyle w:val="860"/>
              <w:jc w:val="center"/>
              <w:spacing w:line="264" w:lineRule="auto"/>
              <w:rPr>
                <w:rFonts w:hint="eastAsia" w:ascii="宋体" w:hAnsi="宋体" w:cs="Courier New"/>
                <w:sz w:val="24"/>
                <w:szCs w:val="24"/>
              </w:rPr>
            </w:pPr>
            <w:r>
              <w:rPr>
                <w:rFonts w:hint="eastAsia" w:ascii="宋体" w:hAnsi="宋体" w:cs="Courier New"/>
                <w:sz w:val="24"/>
                <w:szCs w:val="24"/>
              </w:rPr>
              <w:t xml:space="preserve">金额（元）</w:t>
            </w:r>
            <w:r/>
          </w:p>
        </w:tc>
      </w:tr>
      <w:tr>
        <w:trPr>
          <w:trHeight w:val="414"/>
        </w:trPr>
        <w:tc>
          <w:tcPr>
            <w:tcW w:w="631" w:type="dxa"/>
            <w:vAlign w:val="center"/>
            <w:textDirection w:val="lrTb"/>
            <w:noWrap w:val="false"/>
          </w:tcPr>
          <w:p>
            <w:pPr>
              <w:pStyle w:val="860"/>
              <w:jc w:val="center"/>
              <w:spacing w:line="264" w:lineRule="auto"/>
              <w:rPr>
                <w:rFonts w:hint="eastAsia" w:ascii="宋体" w:hAnsi="宋体" w:cs="Courier New"/>
                <w:sz w:val="24"/>
                <w:szCs w:val="24"/>
                <w:highlight w:val="yellow"/>
              </w:rPr>
            </w:pPr>
            <w:r>
              <w:rPr>
                <w:rFonts w:hint="eastAsia" w:ascii="宋体" w:hAnsi="宋体" w:cs="Courier New"/>
                <w:sz w:val="24"/>
                <w:szCs w:val="24"/>
              </w:rPr>
              <w:t xml:space="preserve">1</w:t>
            </w:r>
            <w:r>
              <w:rPr>
                <w:rFonts w:hint="eastAsia" w:ascii="宋体" w:hAnsi="宋体" w:cs="Courier New"/>
                <w:sz w:val="24"/>
                <w:szCs w:val="24"/>
                <w:highlight w:val="yellow"/>
              </w:rPr>
            </w:r>
            <w:r/>
          </w:p>
        </w:tc>
        <w:tc>
          <w:tcPr>
            <w:tcW w:w="2566" w:type="dxa"/>
            <w:vAlign w:val="center"/>
            <w:textDirection w:val="lrTb"/>
            <w:noWrap w:val="false"/>
          </w:tcPr>
          <w:p>
            <w:pPr>
              <w:pStyle w:val="860"/>
              <w:jc w:val="center"/>
              <w:spacing w:line="264" w:lineRule="auto"/>
              <w:rPr>
                <w:rFonts w:hint="eastAsia" w:ascii="宋体" w:hAnsi="宋体" w:cs="Courier New"/>
                <w:sz w:val="24"/>
                <w:szCs w:val="24"/>
              </w:rPr>
            </w:pPr>
            <w:r>
              <w:rPr>
                <w:rFonts w:hint="eastAsia" w:ascii="宋体" w:hAnsi="宋体" w:cs="Courier New"/>
                <w:sz w:val="24"/>
                <w:szCs w:val="24"/>
              </w:rPr>
              <w:t xml:space="preserve">拆除费用</w:t>
            </w:r>
            <w:r/>
          </w:p>
        </w:tc>
        <w:tc>
          <w:tcPr>
            <w:tcW w:w="6729" w:type="dxa"/>
            <w:vAlign w:val="center"/>
            <w:textDirection w:val="lrTb"/>
            <w:noWrap w:val="false"/>
          </w:tcPr>
          <w:p>
            <w:pPr>
              <w:pStyle w:val="860"/>
              <w:jc w:val="center"/>
              <w:spacing w:line="264" w:lineRule="auto"/>
              <w:rPr>
                <w:rFonts w:hint="eastAsia" w:ascii="宋体" w:hAnsi="宋体" w:cs="Courier New"/>
                <w:sz w:val="24"/>
                <w:szCs w:val="24"/>
              </w:rPr>
            </w:pPr>
            <w:r>
              <w:rPr>
                <w:rFonts w:hint="eastAsia" w:ascii="宋体" w:hAnsi="宋体" w:cs="Courier New"/>
                <w:sz w:val="24"/>
                <w:szCs w:val="24"/>
              </w:rPr>
            </w:r>
            <w:r/>
          </w:p>
        </w:tc>
      </w:tr>
      <w:tr>
        <w:trPr>
          <w:trHeight w:val="414"/>
        </w:trPr>
        <w:tc>
          <w:tcPr>
            <w:tcW w:w="631" w:type="dxa"/>
            <w:vAlign w:val="center"/>
            <w:textDirection w:val="lrTb"/>
            <w:noWrap w:val="false"/>
          </w:tcPr>
          <w:p>
            <w:pPr>
              <w:pStyle w:val="860"/>
              <w:jc w:val="center"/>
              <w:spacing w:line="264" w:lineRule="auto"/>
              <w:rPr>
                <w:rFonts w:hint="eastAsia" w:ascii="宋体" w:hAnsi="宋体" w:cs="Courier New"/>
                <w:sz w:val="24"/>
                <w:szCs w:val="24"/>
              </w:rPr>
            </w:pPr>
            <w:r>
              <w:rPr>
                <w:rFonts w:hint="eastAsia" w:ascii="宋体" w:hAnsi="宋体" w:cs="Courier New"/>
                <w:sz w:val="24"/>
                <w:szCs w:val="24"/>
              </w:rPr>
            </w:r>
            <w:r/>
          </w:p>
        </w:tc>
        <w:tc>
          <w:tcPr>
            <w:tcW w:w="2566" w:type="dxa"/>
            <w:vAlign w:val="center"/>
            <w:textDirection w:val="lrTb"/>
            <w:noWrap w:val="false"/>
          </w:tcPr>
          <w:p>
            <w:pPr>
              <w:pStyle w:val="860"/>
              <w:spacing w:line="264" w:lineRule="auto"/>
              <w:rPr>
                <w:rFonts w:hint="eastAsia" w:ascii="宋体" w:hAnsi="宋体" w:cs="Courier New"/>
                <w:sz w:val="24"/>
                <w:szCs w:val="24"/>
              </w:rPr>
            </w:pPr>
            <w:r>
              <w:rPr>
                <w:rFonts w:hint="eastAsia" w:ascii="宋体" w:hAnsi="宋体" w:cs="Courier New"/>
                <w:sz w:val="24"/>
                <w:szCs w:val="24"/>
              </w:rPr>
            </w:r>
            <w:r/>
          </w:p>
        </w:tc>
        <w:tc>
          <w:tcPr>
            <w:tcW w:w="6729" w:type="dxa"/>
            <w:vAlign w:val="center"/>
            <w:textDirection w:val="lrTb"/>
            <w:noWrap w:val="false"/>
          </w:tcPr>
          <w:p>
            <w:pPr>
              <w:pStyle w:val="860"/>
              <w:jc w:val="center"/>
              <w:spacing w:line="264" w:lineRule="auto"/>
              <w:rPr>
                <w:rFonts w:hint="eastAsia" w:ascii="宋体" w:hAnsi="宋体" w:cs="Courier New"/>
                <w:sz w:val="24"/>
                <w:szCs w:val="24"/>
              </w:rPr>
            </w:pPr>
            <w:r>
              <w:rPr>
                <w:rFonts w:hint="eastAsia" w:ascii="宋体" w:hAnsi="宋体" w:cs="Courier New"/>
                <w:sz w:val="24"/>
                <w:szCs w:val="24"/>
              </w:rPr>
            </w:r>
            <w:r/>
          </w:p>
        </w:tc>
      </w:tr>
    </w:tbl>
    <w:p>
      <w:pPr>
        <w:pStyle w:val="873"/>
        <w:rPr>
          <w:rFonts w:hint="eastAsia"/>
          <w:lang w:eastAsia="zh-CN"/>
        </w:rPr>
      </w:pPr>
      <w:r>
        <w:rPr>
          <w:rFonts w:hint="eastAsia"/>
          <w:lang w:eastAsia="zh-CN"/>
        </w:rPr>
      </w:r>
      <w:r/>
    </w:p>
    <w:p>
      <w:pPr>
        <w:pStyle w:val="860"/>
        <w:ind w:firstLine="420"/>
      </w:pPr>
      <w:r>
        <w:rPr>
          <w:rFonts w:hint="eastAsia"/>
        </w:rPr>
        <w:t xml:space="preserve">附表2：质保期满后的年维保价格清单（参考格式）</w:t>
      </w:r>
      <w:r/>
    </w:p>
    <w:tbl>
      <w:tblPr>
        <w:tblW w:w="5092"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32"/>
        <w:gridCol w:w="2570"/>
        <w:gridCol w:w="6740"/>
      </w:tblGrid>
      <w:tr>
        <w:trPr>
          <w:trHeight w:val="470"/>
        </w:trPr>
        <w:tc>
          <w:tcPr>
            <w:tcW w:w="631" w:type="dxa"/>
            <w:vAlign w:val="center"/>
            <w:textDirection w:val="lrTb"/>
            <w:noWrap w:val="false"/>
          </w:tcPr>
          <w:p>
            <w:pPr>
              <w:pStyle w:val="860"/>
              <w:jc w:val="center"/>
              <w:spacing w:line="264" w:lineRule="auto"/>
              <w:rPr>
                <w:rFonts w:hint="eastAsia" w:ascii="宋体" w:hAnsi="宋体" w:cs="Courier New"/>
                <w:sz w:val="24"/>
                <w:szCs w:val="24"/>
              </w:rPr>
            </w:pPr>
            <w:r>
              <w:rPr>
                <w:rFonts w:hint="eastAsia" w:ascii="宋体" w:hAnsi="宋体" w:cs="Courier New"/>
                <w:sz w:val="24"/>
                <w:szCs w:val="24"/>
              </w:rPr>
              <w:t xml:space="preserve">序号</w:t>
            </w:r>
            <w:r/>
          </w:p>
        </w:tc>
        <w:tc>
          <w:tcPr>
            <w:tcW w:w="2566" w:type="dxa"/>
            <w:vAlign w:val="center"/>
            <w:textDirection w:val="lrTb"/>
            <w:noWrap w:val="false"/>
          </w:tcPr>
          <w:p>
            <w:pPr>
              <w:pStyle w:val="860"/>
              <w:jc w:val="center"/>
              <w:spacing w:line="264" w:lineRule="auto"/>
              <w:rPr>
                <w:rFonts w:hint="eastAsia" w:ascii="宋体" w:hAnsi="宋体" w:cs="Courier New"/>
                <w:sz w:val="24"/>
                <w:szCs w:val="24"/>
              </w:rPr>
            </w:pPr>
            <w:r>
              <w:rPr>
                <w:rFonts w:hint="eastAsia" w:ascii="宋体" w:hAnsi="宋体" w:cs="Courier New"/>
                <w:sz w:val="24"/>
                <w:szCs w:val="24"/>
              </w:rPr>
              <w:t xml:space="preserve">分项名称</w:t>
            </w:r>
            <w:r/>
          </w:p>
        </w:tc>
        <w:tc>
          <w:tcPr>
            <w:tcW w:w="6729" w:type="dxa"/>
            <w:vAlign w:val="center"/>
            <w:textDirection w:val="lrTb"/>
            <w:noWrap w:val="false"/>
          </w:tcPr>
          <w:p>
            <w:pPr>
              <w:pStyle w:val="860"/>
              <w:jc w:val="center"/>
              <w:spacing w:line="264" w:lineRule="auto"/>
              <w:rPr>
                <w:rFonts w:hint="eastAsia" w:ascii="宋体" w:hAnsi="宋体" w:cs="Courier New"/>
                <w:sz w:val="24"/>
                <w:szCs w:val="24"/>
              </w:rPr>
            </w:pPr>
            <w:r>
              <w:rPr>
                <w:rFonts w:hint="eastAsia" w:ascii="宋体" w:hAnsi="宋体" w:cs="Courier New"/>
                <w:sz w:val="24"/>
                <w:szCs w:val="24"/>
              </w:rPr>
              <w:t xml:space="preserve">金额（元）</w:t>
            </w:r>
            <w:r/>
          </w:p>
        </w:tc>
      </w:tr>
      <w:tr>
        <w:trPr>
          <w:trHeight w:val="414"/>
        </w:trPr>
        <w:tc>
          <w:tcPr>
            <w:tcW w:w="631" w:type="dxa"/>
            <w:vAlign w:val="center"/>
            <w:textDirection w:val="lrTb"/>
            <w:noWrap w:val="false"/>
          </w:tcPr>
          <w:p>
            <w:pPr>
              <w:pStyle w:val="860"/>
              <w:jc w:val="center"/>
              <w:spacing w:line="264" w:lineRule="auto"/>
              <w:rPr>
                <w:rFonts w:hint="eastAsia" w:ascii="宋体" w:hAnsi="宋体" w:cs="Courier New"/>
                <w:sz w:val="24"/>
                <w:szCs w:val="24"/>
                <w:highlight w:val="yellow"/>
              </w:rPr>
            </w:pPr>
            <w:r>
              <w:rPr>
                <w:rFonts w:hint="eastAsia" w:ascii="宋体" w:hAnsi="宋体" w:cs="Courier New"/>
                <w:sz w:val="24"/>
                <w:szCs w:val="24"/>
              </w:rPr>
              <w:t xml:space="preserve">1</w:t>
            </w:r>
            <w:r>
              <w:rPr>
                <w:rFonts w:hint="eastAsia" w:ascii="宋体" w:hAnsi="宋体" w:cs="Courier New"/>
                <w:sz w:val="24"/>
                <w:szCs w:val="24"/>
                <w:highlight w:val="yellow"/>
              </w:rPr>
            </w:r>
            <w:r/>
          </w:p>
        </w:tc>
        <w:tc>
          <w:tcPr>
            <w:tcW w:w="2566" w:type="dxa"/>
            <w:vAlign w:val="center"/>
            <w:textDirection w:val="lrTb"/>
            <w:noWrap w:val="false"/>
          </w:tcPr>
          <w:p>
            <w:pPr>
              <w:pStyle w:val="860"/>
              <w:jc w:val="center"/>
              <w:spacing w:line="264" w:lineRule="auto"/>
              <w:rPr>
                <w:rFonts w:hint="eastAsia" w:ascii="宋体" w:hAnsi="宋体" w:cs="Courier New"/>
                <w:sz w:val="24"/>
                <w:szCs w:val="24"/>
              </w:rPr>
            </w:pPr>
            <w:r>
              <w:rPr>
                <w:rFonts w:ascii="宋体" w:hAnsi="宋体" w:cs="Courier New"/>
                <w:sz w:val="24"/>
                <w:szCs w:val="24"/>
              </w:rPr>
              <w:t xml:space="preserve">…</w:t>
            </w:r>
            <w:r>
              <w:rPr>
                <w:rFonts w:hint="eastAsia" w:ascii="宋体" w:hAnsi="宋体" w:cs="Courier New"/>
                <w:sz w:val="24"/>
                <w:szCs w:val="24"/>
              </w:rPr>
            </w:r>
            <w:r/>
          </w:p>
        </w:tc>
        <w:tc>
          <w:tcPr>
            <w:tcW w:w="6729" w:type="dxa"/>
            <w:vAlign w:val="center"/>
            <w:textDirection w:val="lrTb"/>
            <w:noWrap w:val="false"/>
          </w:tcPr>
          <w:p>
            <w:pPr>
              <w:pStyle w:val="860"/>
              <w:jc w:val="center"/>
              <w:spacing w:line="264" w:lineRule="auto"/>
              <w:rPr>
                <w:rFonts w:hint="eastAsia" w:ascii="宋体" w:hAnsi="宋体" w:cs="Courier New"/>
                <w:sz w:val="24"/>
                <w:szCs w:val="24"/>
              </w:rPr>
            </w:pPr>
            <w:r>
              <w:rPr>
                <w:rFonts w:ascii="宋体" w:hAnsi="宋体" w:cs="Courier New"/>
                <w:sz w:val="24"/>
                <w:szCs w:val="24"/>
              </w:rPr>
              <w:t xml:space="preserve">…</w:t>
            </w:r>
            <w:r>
              <w:rPr>
                <w:rFonts w:hint="eastAsia" w:ascii="宋体" w:hAnsi="宋体" w:cs="Courier New"/>
                <w:sz w:val="24"/>
                <w:szCs w:val="24"/>
              </w:rPr>
            </w:r>
            <w:r/>
          </w:p>
        </w:tc>
      </w:tr>
      <w:tr>
        <w:trPr>
          <w:trHeight w:val="414"/>
        </w:trPr>
        <w:tc>
          <w:tcPr>
            <w:tcW w:w="631" w:type="dxa"/>
            <w:vAlign w:val="center"/>
            <w:textDirection w:val="lrTb"/>
            <w:noWrap w:val="false"/>
          </w:tcPr>
          <w:p>
            <w:pPr>
              <w:pStyle w:val="860"/>
              <w:jc w:val="center"/>
              <w:spacing w:line="264" w:lineRule="auto"/>
              <w:rPr>
                <w:rFonts w:hint="eastAsia" w:ascii="宋体" w:hAnsi="宋体" w:cs="Courier New"/>
                <w:sz w:val="24"/>
                <w:szCs w:val="24"/>
              </w:rPr>
            </w:pPr>
            <w:r>
              <w:rPr>
                <w:rFonts w:hint="eastAsia" w:ascii="宋体" w:hAnsi="宋体" w:cs="Courier New"/>
                <w:sz w:val="24"/>
                <w:szCs w:val="24"/>
              </w:rPr>
              <w:t xml:space="preserve">2</w:t>
            </w:r>
            <w:r/>
          </w:p>
        </w:tc>
        <w:tc>
          <w:tcPr>
            <w:tcW w:w="2566" w:type="dxa"/>
            <w:vAlign w:val="center"/>
            <w:textDirection w:val="lrTb"/>
            <w:noWrap w:val="false"/>
          </w:tcPr>
          <w:p>
            <w:pPr>
              <w:pStyle w:val="860"/>
              <w:jc w:val="center"/>
              <w:spacing w:line="264" w:lineRule="auto"/>
              <w:rPr>
                <w:rFonts w:hint="eastAsia" w:ascii="宋体" w:hAnsi="宋体" w:cs="Courier New"/>
                <w:sz w:val="24"/>
                <w:szCs w:val="24"/>
              </w:rPr>
            </w:pPr>
            <w:r>
              <w:rPr>
                <w:rFonts w:ascii="宋体" w:hAnsi="宋体" w:cs="Courier New"/>
                <w:sz w:val="24"/>
                <w:szCs w:val="24"/>
              </w:rPr>
              <w:t xml:space="preserve">…</w:t>
            </w:r>
            <w:r>
              <w:rPr>
                <w:rFonts w:hint="eastAsia" w:ascii="宋体" w:hAnsi="宋体" w:cs="Courier New"/>
                <w:sz w:val="24"/>
                <w:szCs w:val="24"/>
              </w:rPr>
            </w:r>
            <w:r/>
          </w:p>
        </w:tc>
        <w:tc>
          <w:tcPr>
            <w:tcW w:w="6729" w:type="dxa"/>
            <w:vAlign w:val="center"/>
            <w:textDirection w:val="lrTb"/>
            <w:noWrap w:val="false"/>
          </w:tcPr>
          <w:p>
            <w:pPr>
              <w:pStyle w:val="860"/>
              <w:jc w:val="center"/>
              <w:spacing w:line="264" w:lineRule="auto"/>
              <w:rPr>
                <w:rFonts w:hint="eastAsia" w:ascii="宋体" w:hAnsi="宋体" w:cs="Courier New"/>
                <w:sz w:val="24"/>
                <w:szCs w:val="24"/>
              </w:rPr>
            </w:pPr>
            <w:r>
              <w:rPr>
                <w:rFonts w:ascii="宋体" w:hAnsi="宋体" w:cs="Courier New"/>
                <w:sz w:val="24"/>
                <w:szCs w:val="24"/>
              </w:rPr>
              <w:t xml:space="preserve">…</w:t>
            </w:r>
            <w:r>
              <w:rPr>
                <w:rFonts w:hint="eastAsia" w:ascii="宋体" w:hAnsi="宋体" w:cs="Courier New"/>
                <w:sz w:val="24"/>
                <w:szCs w:val="24"/>
              </w:rPr>
            </w:r>
            <w:r/>
          </w:p>
        </w:tc>
      </w:tr>
      <w:tr>
        <w:trPr>
          <w:trHeight w:val="414"/>
        </w:trPr>
        <w:tc>
          <w:tcPr>
            <w:tcW w:w="631" w:type="dxa"/>
            <w:vAlign w:val="center"/>
            <w:textDirection w:val="lrTb"/>
            <w:noWrap w:val="false"/>
          </w:tcPr>
          <w:p>
            <w:pPr>
              <w:pStyle w:val="860"/>
              <w:jc w:val="center"/>
              <w:spacing w:line="264" w:lineRule="auto"/>
              <w:rPr>
                <w:rFonts w:hint="eastAsia" w:ascii="宋体" w:hAnsi="宋体" w:cs="Courier New"/>
                <w:sz w:val="24"/>
                <w:szCs w:val="24"/>
              </w:rPr>
            </w:pPr>
            <w:r>
              <w:rPr>
                <w:rFonts w:hint="eastAsia" w:ascii="宋体" w:hAnsi="宋体" w:cs="Courier New"/>
                <w:sz w:val="24"/>
                <w:szCs w:val="24"/>
              </w:rPr>
            </w:r>
            <w:r/>
          </w:p>
        </w:tc>
        <w:tc>
          <w:tcPr>
            <w:tcW w:w="2566" w:type="dxa"/>
            <w:vAlign w:val="center"/>
            <w:textDirection w:val="lrTb"/>
            <w:noWrap w:val="false"/>
          </w:tcPr>
          <w:p>
            <w:pPr>
              <w:pStyle w:val="860"/>
              <w:spacing w:line="264" w:lineRule="auto"/>
              <w:rPr>
                <w:rFonts w:hint="eastAsia" w:ascii="宋体" w:hAnsi="宋体" w:cs="Courier New"/>
                <w:sz w:val="24"/>
                <w:szCs w:val="24"/>
              </w:rPr>
            </w:pPr>
            <w:r>
              <w:rPr>
                <w:rFonts w:hint="eastAsia" w:ascii="宋体" w:hAnsi="宋体" w:cs="Courier New"/>
                <w:sz w:val="24"/>
                <w:szCs w:val="24"/>
              </w:rPr>
            </w:r>
            <w:r/>
          </w:p>
        </w:tc>
        <w:tc>
          <w:tcPr>
            <w:tcW w:w="6729" w:type="dxa"/>
            <w:vAlign w:val="center"/>
            <w:textDirection w:val="lrTb"/>
            <w:noWrap w:val="false"/>
          </w:tcPr>
          <w:p>
            <w:pPr>
              <w:pStyle w:val="860"/>
              <w:jc w:val="center"/>
              <w:spacing w:line="264" w:lineRule="auto"/>
              <w:rPr>
                <w:rFonts w:hint="eastAsia" w:ascii="宋体" w:hAnsi="宋体" w:cs="Courier New"/>
                <w:sz w:val="24"/>
                <w:szCs w:val="24"/>
              </w:rPr>
            </w:pPr>
            <w:r>
              <w:rPr>
                <w:rFonts w:hint="eastAsia" w:ascii="宋体" w:hAnsi="宋体" w:cs="Courier New"/>
                <w:sz w:val="24"/>
                <w:szCs w:val="24"/>
              </w:rPr>
            </w:r>
            <w:r/>
          </w:p>
        </w:tc>
      </w:tr>
    </w:tbl>
    <w:p>
      <w:pPr>
        <w:pStyle w:val="873"/>
        <w:rPr>
          <w:lang w:eastAsia="zh-CN"/>
        </w:rPr>
      </w:pPr>
      <w:r>
        <w:rPr>
          <w:lang w:eastAsia="zh-CN"/>
        </w:rPr>
      </w:r>
      <w:r/>
    </w:p>
    <w:p>
      <w:pPr>
        <w:pStyle w:val="873"/>
        <w:rPr>
          <w:bCs/>
          <w:lang w:eastAsia="zh-CN"/>
        </w:rPr>
      </w:pPr>
      <w:r>
        <w:rPr>
          <w:rFonts w:hint="eastAsia"/>
          <w:lang w:eastAsia="zh-CN"/>
        </w:rPr>
        <w:t xml:space="preserve">附表3：</w:t>
      </w:r>
      <w:r>
        <w:rPr>
          <w:rFonts w:hint="eastAsia"/>
          <w:bCs/>
          <w:lang w:eastAsia="zh-CN"/>
        </w:rPr>
        <w:t xml:space="preserve">原旧电梯情况</w:t>
      </w:r>
      <w:r>
        <w:rPr>
          <w:bCs/>
          <w:lang w:eastAsia="zh-CN"/>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1636"/>
        <w:gridCol w:w="1387"/>
        <w:gridCol w:w="1369"/>
        <w:gridCol w:w="1311"/>
        <w:gridCol w:w="1148"/>
        <w:gridCol w:w="1219"/>
        <w:gridCol w:w="835"/>
      </w:tblGrid>
      <w:tr>
        <w:trPr>
          <w:trHeight w:val="557"/>
        </w:trPr>
        <w:tc>
          <w:tcPr>
            <w:gridSpan w:val="8"/>
            <w:tcW w:w="5000" w:type="pct"/>
            <w:vAlign w:val="center"/>
            <w:textDirection w:val="lrTb"/>
            <w:noWrap w:val="false"/>
          </w:tcPr>
          <w:p>
            <w:pPr>
              <w:pStyle w:val="860"/>
              <w:jc w:val="center"/>
              <w:rPr>
                <w:rFonts w:hint="eastAsia" w:ascii="宋体" w:hAnsi="宋体"/>
                <w:b/>
                <w:bCs/>
                <w:szCs w:val="21"/>
              </w:rPr>
            </w:pPr>
            <w:r>
              <w:rPr>
                <w:rFonts w:hint="eastAsia" w:ascii="宋体" w:hAnsi="宋体"/>
                <w:b/>
                <w:bCs/>
                <w:szCs w:val="21"/>
              </w:rPr>
              <w:t xml:space="preserve">目前在用三部（待更新）电梯基础情况</w:t>
            </w:r>
            <w:r/>
          </w:p>
        </w:tc>
      </w:tr>
      <w:tr>
        <w:trPr>
          <w:trHeight w:val="557"/>
        </w:trPr>
        <w:tc>
          <w:tcPr>
            <w:tcW w:w="531" w:type="pct"/>
            <w:vAlign w:val="center"/>
            <w:textDirection w:val="lrTb"/>
            <w:noWrap w:val="false"/>
          </w:tcPr>
          <w:p>
            <w:pPr>
              <w:pStyle w:val="860"/>
              <w:jc w:val="center"/>
              <w:rPr>
                <w:rFonts w:hint="eastAsia" w:ascii="宋体" w:hAnsi="宋体"/>
                <w:szCs w:val="21"/>
              </w:rPr>
            </w:pPr>
            <w:r>
              <w:rPr>
                <w:rFonts w:ascii="宋体" w:hAnsi="宋体"/>
                <w:szCs w:val="21"/>
              </w:rPr>
              <w:t xml:space="preserve">序号</w:t>
            </w:r>
            <w:r>
              <w:rPr>
                <w:rFonts w:hint="eastAsia" w:ascii="宋体" w:hAnsi="宋体"/>
                <w:szCs w:val="21"/>
              </w:rPr>
            </w:r>
            <w:r/>
          </w:p>
        </w:tc>
        <w:tc>
          <w:tcPr>
            <w:tcW w:w="821" w:type="pct"/>
            <w:vAlign w:val="center"/>
            <w:textDirection w:val="lrTb"/>
            <w:noWrap w:val="false"/>
          </w:tcPr>
          <w:p>
            <w:pPr>
              <w:pStyle w:val="860"/>
              <w:jc w:val="center"/>
              <w:rPr>
                <w:rFonts w:hint="eastAsia" w:ascii="宋体" w:hAnsi="宋体"/>
                <w:szCs w:val="21"/>
              </w:rPr>
            </w:pPr>
            <w:r>
              <w:rPr>
                <w:rFonts w:ascii="宋体" w:hAnsi="宋体"/>
                <w:szCs w:val="21"/>
              </w:rPr>
              <w:t xml:space="preserve">设备名称</w:t>
            </w:r>
            <w:r>
              <w:rPr>
                <w:rFonts w:hint="eastAsia" w:ascii="宋体" w:hAnsi="宋体"/>
                <w:szCs w:val="21"/>
              </w:rPr>
            </w:r>
            <w:r/>
          </w:p>
        </w:tc>
        <w:tc>
          <w:tcPr>
            <w:tcW w:w="696" w:type="pct"/>
            <w:vAlign w:val="center"/>
            <w:textDirection w:val="lrTb"/>
            <w:noWrap w:val="false"/>
          </w:tcPr>
          <w:p>
            <w:pPr>
              <w:pStyle w:val="860"/>
              <w:jc w:val="center"/>
              <w:rPr>
                <w:rFonts w:hint="eastAsia" w:ascii="宋体" w:hAnsi="宋体"/>
                <w:szCs w:val="21"/>
              </w:rPr>
            </w:pPr>
            <w:r>
              <w:rPr>
                <w:rFonts w:ascii="宋体" w:hAnsi="宋体"/>
                <w:szCs w:val="21"/>
              </w:rPr>
              <w:t xml:space="preserve">品牌</w:t>
            </w:r>
            <w:r>
              <w:rPr>
                <w:rFonts w:hint="eastAsia" w:ascii="宋体" w:hAnsi="宋体"/>
                <w:szCs w:val="21"/>
              </w:rPr>
            </w:r>
            <w:r/>
          </w:p>
        </w:tc>
        <w:tc>
          <w:tcPr>
            <w:tcW w:w="687" w:type="pct"/>
            <w:vAlign w:val="center"/>
            <w:textDirection w:val="lrTb"/>
            <w:noWrap w:val="false"/>
          </w:tcPr>
          <w:p>
            <w:pPr>
              <w:pStyle w:val="860"/>
              <w:jc w:val="center"/>
              <w:rPr>
                <w:rFonts w:hint="eastAsia" w:ascii="宋体" w:hAnsi="宋体"/>
                <w:szCs w:val="21"/>
              </w:rPr>
            </w:pPr>
            <w:r>
              <w:rPr>
                <w:rFonts w:ascii="宋体" w:hAnsi="宋体"/>
                <w:szCs w:val="21"/>
              </w:rPr>
              <w:t xml:space="preserve">型号</w:t>
            </w:r>
            <w:r>
              <w:rPr>
                <w:rFonts w:hint="eastAsia" w:ascii="宋体" w:hAnsi="宋体"/>
                <w:szCs w:val="21"/>
              </w:rPr>
            </w:r>
            <w:r/>
          </w:p>
        </w:tc>
        <w:tc>
          <w:tcPr>
            <w:tcW w:w="658" w:type="pct"/>
            <w:vAlign w:val="center"/>
            <w:textDirection w:val="lrTb"/>
            <w:noWrap w:val="false"/>
          </w:tcPr>
          <w:p>
            <w:pPr>
              <w:pStyle w:val="860"/>
              <w:jc w:val="center"/>
              <w:rPr>
                <w:rFonts w:hint="eastAsia" w:ascii="宋体" w:hAnsi="宋体"/>
                <w:szCs w:val="21"/>
              </w:rPr>
            </w:pPr>
            <w:r>
              <w:rPr>
                <w:rFonts w:ascii="宋体" w:hAnsi="宋体"/>
                <w:szCs w:val="21"/>
              </w:rPr>
              <w:t xml:space="preserve">位置</w:t>
            </w:r>
            <w:r>
              <w:rPr>
                <w:rFonts w:hint="eastAsia" w:ascii="宋体" w:hAnsi="宋体"/>
                <w:szCs w:val="21"/>
              </w:rPr>
            </w:r>
            <w:r/>
          </w:p>
        </w:tc>
        <w:tc>
          <w:tcPr>
            <w:tcW w:w="576" w:type="pct"/>
            <w:vAlign w:val="center"/>
            <w:textDirection w:val="lrTb"/>
            <w:noWrap w:val="false"/>
          </w:tcPr>
          <w:p>
            <w:pPr>
              <w:pStyle w:val="860"/>
              <w:jc w:val="center"/>
              <w:rPr>
                <w:rFonts w:hint="eastAsia" w:ascii="宋体" w:hAnsi="宋体"/>
                <w:szCs w:val="21"/>
              </w:rPr>
            </w:pPr>
            <w:r>
              <w:rPr>
                <w:rFonts w:ascii="宋体" w:hAnsi="宋体"/>
                <w:szCs w:val="21"/>
              </w:rPr>
              <w:t xml:space="preserve">使用时间</w:t>
            </w:r>
            <w:r>
              <w:rPr>
                <w:rFonts w:hint="eastAsia" w:ascii="宋体" w:hAnsi="宋体"/>
                <w:szCs w:val="21"/>
              </w:rPr>
            </w:r>
            <w:r/>
          </w:p>
        </w:tc>
        <w:tc>
          <w:tcPr>
            <w:tcW w:w="612" w:type="pct"/>
            <w:vAlign w:val="center"/>
            <w:textDirection w:val="lrTb"/>
            <w:noWrap w:val="false"/>
          </w:tcPr>
          <w:p>
            <w:pPr>
              <w:pStyle w:val="860"/>
              <w:jc w:val="center"/>
              <w:rPr>
                <w:rFonts w:hint="eastAsia" w:ascii="宋体" w:hAnsi="宋体"/>
                <w:szCs w:val="21"/>
              </w:rPr>
            </w:pPr>
            <w:r>
              <w:rPr>
                <w:rFonts w:ascii="宋体" w:hAnsi="宋体"/>
                <w:szCs w:val="21"/>
              </w:rPr>
              <w:t xml:space="preserve">载重</w:t>
            </w:r>
            <w:r>
              <w:rPr>
                <w:rFonts w:hint="eastAsia" w:ascii="宋体" w:hAnsi="宋体"/>
                <w:szCs w:val="21"/>
              </w:rPr>
            </w:r>
            <w:r/>
          </w:p>
          <w:p>
            <w:pPr>
              <w:pStyle w:val="860"/>
              <w:jc w:val="center"/>
              <w:rPr>
                <w:rFonts w:hint="eastAsia" w:ascii="宋体" w:hAnsi="宋体"/>
                <w:szCs w:val="21"/>
              </w:rPr>
            </w:pPr>
            <w:r>
              <w:rPr>
                <w:rFonts w:ascii="宋体" w:hAnsi="宋体"/>
                <w:szCs w:val="21"/>
              </w:rPr>
              <w:t xml:space="preserve">\速度</w:t>
            </w:r>
            <w:r>
              <w:rPr>
                <w:rFonts w:hint="eastAsia" w:ascii="宋体" w:hAnsi="宋体"/>
                <w:szCs w:val="21"/>
              </w:rPr>
            </w:r>
            <w:r/>
          </w:p>
        </w:tc>
        <w:tc>
          <w:tcPr>
            <w:tcW w:w="419" w:type="pct"/>
            <w:vAlign w:val="center"/>
            <w:textDirection w:val="lrTb"/>
            <w:noWrap w:val="false"/>
          </w:tcPr>
          <w:p>
            <w:pPr>
              <w:pStyle w:val="860"/>
              <w:jc w:val="center"/>
              <w:rPr>
                <w:rFonts w:hint="eastAsia" w:ascii="宋体" w:hAnsi="宋体"/>
                <w:szCs w:val="21"/>
              </w:rPr>
            </w:pPr>
            <w:r>
              <w:rPr>
                <w:rFonts w:ascii="宋体" w:hAnsi="宋体"/>
                <w:szCs w:val="21"/>
              </w:rPr>
              <w:t xml:space="preserve">数量</w:t>
            </w:r>
            <w:r>
              <w:rPr>
                <w:rFonts w:hint="eastAsia" w:ascii="宋体" w:hAnsi="宋体"/>
                <w:szCs w:val="21"/>
              </w:rPr>
            </w:r>
            <w:r/>
          </w:p>
        </w:tc>
      </w:tr>
      <w:tr>
        <w:trPr>
          <w:trHeight w:val="557"/>
        </w:trPr>
        <w:tc>
          <w:tcPr>
            <w:tcW w:w="531" w:type="pct"/>
            <w:vAlign w:val="center"/>
            <w:textDirection w:val="lrTb"/>
            <w:noWrap w:val="false"/>
          </w:tcPr>
          <w:p>
            <w:pPr>
              <w:pStyle w:val="860"/>
              <w:jc w:val="center"/>
              <w:rPr>
                <w:rFonts w:hint="eastAsia" w:ascii="宋体" w:hAnsi="宋体"/>
                <w:szCs w:val="21"/>
              </w:rPr>
            </w:pPr>
            <w:r>
              <w:rPr>
                <w:rFonts w:ascii="宋体" w:hAnsi="宋体"/>
                <w:szCs w:val="21"/>
              </w:rPr>
              <w:t xml:space="preserve">1</w:t>
            </w:r>
            <w:r>
              <w:rPr>
                <w:rFonts w:hint="eastAsia" w:ascii="宋体" w:hAnsi="宋体"/>
                <w:szCs w:val="21"/>
              </w:rPr>
            </w:r>
            <w:r/>
          </w:p>
        </w:tc>
        <w:tc>
          <w:tcPr>
            <w:tcW w:w="821" w:type="pct"/>
            <w:vAlign w:val="center"/>
            <w:textDirection w:val="lrTb"/>
            <w:noWrap w:val="false"/>
          </w:tcPr>
          <w:p>
            <w:pPr>
              <w:pStyle w:val="860"/>
              <w:jc w:val="center"/>
              <w:rPr>
                <w:rFonts w:hint="eastAsia" w:ascii="宋体" w:hAnsi="宋体"/>
                <w:szCs w:val="21"/>
              </w:rPr>
            </w:pPr>
            <w:r>
              <w:rPr>
                <w:rFonts w:ascii="宋体" w:hAnsi="宋体"/>
                <w:szCs w:val="21"/>
              </w:rPr>
              <w:t xml:space="preserve">电梯</w:t>
            </w:r>
            <w:r>
              <w:rPr>
                <w:rFonts w:hint="eastAsia" w:ascii="宋体" w:hAnsi="宋体"/>
                <w:szCs w:val="21"/>
              </w:rPr>
            </w:r>
            <w:r/>
          </w:p>
        </w:tc>
        <w:tc>
          <w:tcPr>
            <w:tcW w:w="696" w:type="pct"/>
            <w:vAlign w:val="center"/>
            <w:textDirection w:val="lrTb"/>
            <w:noWrap w:val="false"/>
          </w:tcPr>
          <w:p>
            <w:pPr>
              <w:pStyle w:val="860"/>
              <w:jc w:val="center"/>
              <w:rPr>
                <w:rFonts w:hint="eastAsia" w:ascii="宋体" w:hAnsi="宋体"/>
                <w:szCs w:val="21"/>
              </w:rPr>
            </w:pPr>
            <w:r>
              <w:rPr>
                <w:rFonts w:ascii="宋体" w:hAnsi="宋体"/>
                <w:szCs w:val="21"/>
              </w:rPr>
              <w:t xml:space="preserve">日本三菱</w:t>
            </w:r>
            <w:r>
              <w:rPr>
                <w:rFonts w:hint="eastAsia" w:ascii="宋体" w:hAnsi="宋体"/>
                <w:szCs w:val="21"/>
              </w:rPr>
            </w:r>
            <w:r/>
          </w:p>
        </w:tc>
        <w:tc>
          <w:tcPr>
            <w:tcW w:w="687" w:type="pct"/>
            <w:vAlign w:val="center"/>
            <w:textDirection w:val="lrTb"/>
            <w:noWrap w:val="false"/>
          </w:tcPr>
          <w:p>
            <w:pPr>
              <w:pStyle w:val="860"/>
              <w:jc w:val="center"/>
              <w:rPr>
                <w:rFonts w:hint="eastAsia" w:ascii="宋体" w:hAnsi="宋体"/>
                <w:szCs w:val="21"/>
              </w:rPr>
            </w:pPr>
            <w:r>
              <w:rPr>
                <w:rFonts w:ascii="宋体" w:hAnsi="宋体"/>
                <w:szCs w:val="21"/>
              </w:rPr>
              <w:t xml:space="preserve">GPS-3</w:t>
            </w:r>
            <w:r>
              <w:rPr>
                <w:rFonts w:hint="eastAsia" w:ascii="宋体" w:hAnsi="宋体"/>
                <w:szCs w:val="21"/>
              </w:rPr>
            </w:r>
            <w:r/>
          </w:p>
        </w:tc>
        <w:tc>
          <w:tcPr>
            <w:tcW w:w="658" w:type="pct"/>
            <w:vAlign w:val="center"/>
            <w:textDirection w:val="lrTb"/>
            <w:noWrap w:val="false"/>
          </w:tcPr>
          <w:p>
            <w:pPr>
              <w:pStyle w:val="860"/>
              <w:jc w:val="center"/>
              <w:rPr>
                <w:rFonts w:hint="eastAsia" w:ascii="宋体" w:hAnsi="宋体"/>
                <w:szCs w:val="21"/>
              </w:rPr>
            </w:pPr>
            <w:r>
              <w:rPr>
                <w:rFonts w:ascii="宋体" w:hAnsi="宋体"/>
                <w:szCs w:val="21"/>
              </w:rPr>
              <w:t xml:space="preserve">1号楼中厅</w:t>
            </w:r>
            <w:r>
              <w:rPr>
                <w:rFonts w:hint="eastAsia" w:ascii="宋体" w:hAnsi="宋体"/>
                <w:szCs w:val="21"/>
              </w:rPr>
            </w:r>
            <w:r/>
          </w:p>
        </w:tc>
        <w:tc>
          <w:tcPr>
            <w:tcW w:w="576" w:type="pct"/>
            <w:vAlign w:val="center"/>
            <w:textDirection w:val="lrTb"/>
            <w:noWrap w:val="false"/>
          </w:tcPr>
          <w:p>
            <w:pPr>
              <w:pStyle w:val="860"/>
              <w:jc w:val="center"/>
              <w:rPr>
                <w:rFonts w:hint="eastAsia" w:ascii="宋体" w:hAnsi="宋体"/>
                <w:szCs w:val="21"/>
              </w:rPr>
            </w:pPr>
            <w:r>
              <w:rPr>
                <w:rFonts w:ascii="宋体" w:hAnsi="宋体"/>
                <w:szCs w:val="21"/>
              </w:rPr>
              <w:t xml:space="preserve">2000年</w:t>
            </w:r>
            <w:r>
              <w:rPr>
                <w:rFonts w:hint="eastAsia" w:ascii="宋体" w:hAnsi="宋体"/>
                <w:szCs w:val="21"/>
              </w:rPr>
            </w:r>
            <w:r/>
          </w:p>
        </w:tc>
        <w:tc>
          <w:tcPr>
            <w:tcW w:w="612" w:type="pct"/>
            <w:vAlign w:val="center"/>
            <w:textDirection w:val="lrTb"/>
            <w:noWrap w:val="false"/>
          </w:tcPr>
          <w:p>
            <w:pPr>
              <w:pStyle w:val="860"/>
              <w:jc w:val="center"/>
              <w:rPr>
                <w:rFonts w:hint="eastAsia" w:ascii="宋体" w:hAnsi="宋体"/>
                <w:szCs w:val="21"/>
              </w:rPr>
            </w:pPr>
            <w:r>
              <w:rPr>
                <w:rFonts w:ascii="宋体" w:hAnsi="宋体"/>
                <w:szCs w:val="21"/>
              </w:rPr>
              <w:t xml:space="preserve">1000KG</w:t>
            </w:r>
            <w:r>
              <w:rPr>
                <w:rFonts w:hint="eastAsia" w:ascii="宋体" w:hAnsi="宋体"/>
                <w:szCs w:val="21"/>
              </w:rPr>
            </w:r>
            <w:r/>
          </w:p>
          <w:p>
            <w:pPr>
              <w:pStyle w:val="860"/>
              <w:jc w:val="center"/>
              <w:rPr>
                <w:rFonts w:hint="eastAsia" w:ascii="宋体" w:hAnsi="宋体"/>
                <w:szCs w:val="21"/>
              </w:rPr>
            </w:pPr>
            <w:r>
              <w:rPr>
                <w:rFonts w:ascii="宋体" w:hAnsi="宋体"/>
                <w:szCs w:val="21"/>
              </w:rPr>
              <w:t xml:space="preserve">2.5m/s</w:t>
            </w:r>
            <w:r>
              <w:rPr>
                <w:rFonts w:hint="eastAsia" w:ascii="宋体" w:hAnsi="宋体"/>
                <w:szCs w:val="21"/>
              </w:rPr>
            </w:r>
            <w:r/>
          </w:p>
        </w:tc>
        <w:tc>
          <w:tcPr>
            <w:tcW w:w="419" w:type="pct"/>
            <w:vAlign w:val="center"/>
            <w:textDirection w:val="lrTb"/>
            <w:noWrap w:val="false"/>
          </w:tcPr>
          <w:p>
            <w:pPr>
              <w:pStyle w:val="860"/>
              <w:jc w:val="center"/>
              <w:rPr>
                <w:rFonts w:hint="eastAsia" w:ascii="宋体" w:hAnsi="宋体"/>
                <w:szCs w:val="21"/>
              </w:rPr>
            </w:pPr>
            <w:r>
              <w:rPr>
                <w:rFonts w:ascii="宋体" w:hAnsi="宋体"/>
                <w:szCs w:val="21"/>
              </w:rPr>
              <w:t xml:space="preserve">1</w:t>
            </w:r>
            <w:r>
              <w:rPr>
                <w:rFonts w:hint="eastAsia" w:ascii="宋体" w:hAnsi="宋体"/>
                <w:szCs w:val="21"/>
              </w:rPr>
              <w:t xml:space="preserve">部</w:t>
            </w:r>
            <w:r/>
          </w:p>
        </w:tc>
      </w:tr>
      <w:tr>
        <w:trPr>
          <w:trHeight w:val="557"/>
        </w:trPr>
        <w:tc>
          <w:tcPr>
            <w:tcW w:w="531" w:type="pct"/>
            <w:vAlign w:val="center"/>
            <w:textDirection w:val="lrTb"/>
            <w:noWrap w:val="false"/>
          </w:tcPr>
          <w:p>
            <w:pPr>
              <w:pStyle w:val="860"/>
              <w:jc w:val="center"/>
              <w:rPr>
                <w:rFonts w:hint="eastAsia" w:ascii="宋体" w:hAnsi="宋体"/>
                <w:szCs w:val="21"/>
              </w:rPr>
            </w:pPr>
            <w:r>
              <w:rPr>
                <w:rFonts w:ascii="宋体" w:hAnsi="宋体"/>
                <w:szCs w:val="21"/>
              </w:rPr>
              <w:t xml:space="preserve">2</w:t>
            </w:r>
            <w:r>
              <w:rPr>
                <w:rFonts w:hint="eastAsia" w:ascii="宋体" w:hAnsi="宋体"/>
                <w:szCs w:val="21"/>
              </w:rPr>
            </w:r>
            <w:r/>
          </w:p>
        </w:tc>
        <w:tc>
          <w:tcPr>
            <w:tcW w:w="821" w:type="pct"/>
            <w:vAlign w:val="center"/>
            <w:textDirection w:val="lrTb"/>
            <w:noWrap w:val="false"/>
          </w:tcPr>
          <w:p>
            <w:pPr>
              <w:pStyle w:val="860"/>
              <w:jc w:val="center"/>
              <w:rPr>
                <w:rFonts w:hint="eastAsia" w:ascii="宋体" w:hAnsi="宋体"/>
                <w:szCs w:val="21"/>
              </w:rPr>
            </w:pPr>
            <w:r>
              <w:rPr>
                <w:rFonts w:ascii="宋体" w:hAnsi="宋体"/>
                <w:szCs w:val="21"/>
              </w:rPr>
              <w:t xml:space="preserve">电梯</w:t>
            </w:r>
            <w:r>
              <w:rPr>
                <w:rFonts w:hint="eastAsia" w:ascii="宋体" w:hAnsi="宋体"/>
                <w:szCs w:val="21"/>
              </w:rPr>
            </w:r>
            <w:r/>
          </w:p>
        </w:tc>
        <w:tc>
          <w:tcPr>
            <w:tcW w:w="696" w:type="pct"/>
            <w:vAlign w:val="center"/>
            <w:textDirection w:val="lrTb"/>
            <w:noWrap w:val="false"/>
          </w:tcPr>
          <w:p>
            <w:pPr>
              <w:pStyle w:val="860"/>
              <w:jc w:val="center"/>
              <w:rPr>
                <w:rFonts w:hint="eastAsia" w:ascii="宋体" w:hAnsi="宋体"/>
                <w:szCs w:val="21"/>
              </w:rPr>
            </w:pPr>
            <w:r>
              <w:rPr>
                <w:rFonts w:ascii="宋体" w:hAnsi="宋体"/>
                <w:szCs w:val="21"/>
              </w:rPr>
              <w:t xml:space="preserve">日本三菱</w:t>
            </w:r>
            <w:r>
              <w:rPr>
                <w:rFonts w:hint="eastAsia" w:ascii="宋体" w:hAnsi="宋体"/>
                <w:szCs w:val="21"/>
              </w:rPr>
            </w:r>
            <w:r/>
          </w:p>
        </w:tc>
        <w:tc>
          <w:tcPr>
            <w:tcW w:w="687" w:type="pct"/>
            <w:vAlign w:val="center"/>
            <w:textDirection w:val="lrTb"/>
            <w:noWrap w:val="false"/>
          </w:tcPr>
          <w:p>
            <w:pPr>
              <w:pStyle w:val="860"/>
              <w:jc w:val="center"/>
              <w:rPr>
                <w:rFonts w:hint="eastAsia" w:ascii="宋体" w:hAnsi="宋体"/>
                <w:szCs w:val="21"/>
              </w:rPr>
            </w:pPr>
            <w:r>
              <w:rPr>
                <w:rFonts w:ascii="宋体" w:hAnsi="宋体"/>
                <w:szCs w:val="21"/>
              </w:rPr>
              <w:t xml:space="preserve">GPS-3</w:t>
            </w:r>
            <w:r>
              <w:rPr>
                <w:rFonts w:hint="eastAsia" w:ascii="宋体" w:hAnsi="宋体"/>
                <w:szCs w:val="21"/>
              </w:rPr>
            </w:r>
            <w:r/>
          </w:p>
        </w:tc>
        <w:tc>
          <w:tcPr>
            <w:tcW w:w="658" w:type="pct"/>
            <w:vAlign w:val="center"/>
            <w:textDirection w:val="lrTb"/>
            <w:noWrap w:val="false"/>
          </w:tcPr>
          <w:p>
            <w:pPr>
              <w:pStyle w:val="860"/>
              <w:jc w:val="center"/>
              <w:rPr>
                <w:rFonts w:hint="eastAsia" w:ascii="宋体" w:hAnsi="宋体"/>
                <w:szCs w:val="21"/>
              </w:rPr>
            </w:pPr>
            <w:r>
              <w:rPr>
                <w:rFonts w:ascii="宋体" w:hAnsi="宋体"/>
                <w:szCs w:val="21"/>
              </w:rPr>
              <w:t xml:space="preserve">1号楼中厅</w:t>
            </w:r>
            <w:r>
              <w:rPr>
                <w:rFonts w:hint="eastAsia" w:ascii="宋体" w:hAnsi="宋体"/>
                <w:szCs w:val="21"/>
              </w:rPr>
            </w:r>
            <w:r/>
          </w:p>
        </w:tc>
        <w:tc>
          <w:tcPr>
            <w:tcW w:w="576" w:type="pct"/>
            <w:vAlign w:val="center"/>
            <w:textDirection w:val="lrTb"/>
            <w:noWrap w:val="false"/>
          </w:tcPr>
          <w:p>
            <w:pPr>
              <w:pStyle w:val="860"/>
              <w:jc w:val="center"/>
              <w:rPr>
                <w:rFonts w:hint="eastAsia" w:ascii="宋体" w:hAnsi="宋体"/>
                <w:szCs w:val="21"/>
              </w:rPr>
            </w:pPr>
            <w:r>
              <w:rPr>
                <w:rFonts w:ascii="宋体" w:hAnsi="宋体"/>
                <w:szCs w:val="21"/>
              </w:rPr>
              <w:t xml:space="preserve">2000年</w:t>
            </w:r>
            <w:r>
              <w:rPr>
                <w:rFonts w:hint="eastAsia" w:ascii="宋体" w:hAnsi="宋体"/>
                <w:szCs w:val="21"/>
              </w:rPr>
            </w:r>
            <w:r/>
          </w:p>
        </w:tc>
        <w:tc>
          <w:tcPr>
            <w:tcW w:w="612" w:type="pct"/>
            <w:vAlign w:val="center"/>
            <w:textDirection w:val="lrTb"/>
            <w:noWrap w:val="false"/>
          </w:tcPr>
          <w:p>
            <w:pPr>
              <w:pStyle w:val="860"/>
              <w:jc w:val="center"/>
              <w:rPr>
                <w:rFonts w:hint="eastAsia" w:ascii="宋体" w:hAnsi="宋体"/>
                <w:szCs w:val="21"/>
              </w:rPr>
            </w:pPr>
            <w:r>
              <w:rPr>
                <w:rFonts w:ascii="宋体" w:hAnsi="宋体"/>
                <w:szCs w:val="21"/>
              </w:rPr>
              <w:t xml:space="preserve">1000KG</w:t>
            </w:r>
            <w:r>
              <w:rPr>
                <w:rFonts w:hint="eastAsia" w:ascii="宋体" w:hAnsi="宋体"/>
                <w:szCs w:val="21"/>
              </w:rPr>
            </w:r>
            <w:r/>
          </w:p>
          <w:p>
            <w:pPr>
              <w:pStyle w:val="860"/>
              <w:jc w:val="center"/>
              <w:rPr>
                <w:rFonts w:hint="eastAsia" w:ascii="宋体" w:hAnsi="宋体"/>
                <w:szCs w:val="21"/>
              </w:rPr>
            </w:pPr>
            <w:r>
              <w:rPr>
                <w:rFonts w:ascii="宋体" w:hAnsi="宋体"/>
                <w:szCs w:val="21"/>
              </w:rPr>
              <w:t xml:space="preserve">2.5m/s</w:t>
            </w:r>
            <w:r>
              <w:rPr>
                <w:rFonts w:hint="eastAsia" w:ascii="宋体" w:hAnsi="宋体"/>
                <w:szCs w:val="21"/>
              </w:rPr>
            </w:r>
            <w:r/>
          </w:p>
        </w:tc>
        <w:tc>
          <w:tcPr>
            <w:tcW w:w="419" w:type="pct"/>
            <w:vAlign w:val="center"/>
            <w:textDirection w:val="lrTb"/>
            <w:noWrap w:val="false"/>
          </w:tcPr>
          <w:p>
            <w:pPr>
              <w:pStyle w:val="860"/>
              <w:jc w:val="center"/>
              <w:rPr>
                <w:rFonts w:hint="eastAsia" w:ascii="宋体" w:hAnsi="宋体"/>
                <w:szCs w:val="21"/>
              </w:rPr>
            </w:pPr>
            <w:r>
              <w:rPr>
                <w:rFonts w:ascii="宋体" w:hAnsi="宋体"/>
                <w:szCs w:val="21"/>
              </w:rPr>
              <w:t xml:space="preserve">1</w:t>
            </w:r>
            <w:r>
              <w:rPr>
                <w:rFonts w:hint="eastAsia" w:ascii="宋体" w:hAnsi="宋体"/>
                <w:szCs w:val="21"/>
              </w:rPr>
              <w:t xml:space="preserve">部</w:t>
            </w:r>
            <w:r/>
          </w:p>
        </w:tc>
      </w:tr>
      <w:tr>
        <w:trPr>
          <w:trHeight w:val="566"/>
        </w:trPr>
        <w:tc>
          <w:tcPr>
            <w:tcW w:w="531" w:type="pct"/>
            <w:vAlign w:val="center"/>
            <w:textDirection w:val="lrTb"/>
            <w:noWrap w:val="false"/>
          </w:tcPr>
          <w:p>
            <w:pPr>
              <w:pStyle w:val="860"/>
              <w:jc w:val="center"/>
              <w:rPr>
                <w:rFonts w:hint="eastAsia" w:ascii="宋体" w:hAnsi="宋体"/>
                <w:szCs w:val="21"/>
              </w:rPr>
            </w:pPr>
            <w:r>
              <w:rPr>
                <w:rFonts w:ascii="宋体" w:hAnsi="宋体"/>
                <w:szCs w:val="21"/>
              </w:rPr>
              <w:t xml:space="preserve">3</w:t>
            </w:r>
            <w:r>
              <w:rPr>
                <w:rFonts w:hint="eastAsia" w:ascii="宋体" w:hAnsi="宋体"/>
                <w:szCs w:val="21"/>
              </w:rPr>
            </w:r>
            <w:r/>
          </w:p>
        </w:tc>
        <w:tc>
          <w:tcPr>
            <w:tcW w:w="821" w:type="pct"/>
            <w:vAlign w:val="center"/>
            <w:textDirection w:val="lrTb"/>
            <w:noWrap w:val="false"/>
          </w:tcPr>
          <w:p>
            <w:pPr>
              <w:pStyle w:val="860"/>
              <w:jc w:val="center"/>
              <w:rPr>
                <w:rFonts w:hint="eastAsia" w:ascii="宋体" w:hAnsi="宋体"/>
                <w:szCs w:val="21"/>
              </w:rPr>
            </w:pPr>
            <w:r>
              <w:rPr>
                <w:rFonts w:ascii="宋体" w:hAnsi="宋体"/>
                <w:szCs w:val="21"/>
              </w:rPr>
              <w:t xml:space="preserve">电梯</w:t>
            </w:r>
            <w:r>
              <w:rPr>
                <w:rFonts w:hint="eastAsia" w:ascii="宋体" w:hAnsi="宋体"/>
                <w:szCs w:val="21"/>
              </w:rPr>
            </w:r>
            <w:r/>
          </w:p>
        </w:tc>
        <w:tc>
          <w:tcPr>
            <w:tcW w:w="696" w:type="pct"/>
            <w:vAlign w:val="center"/>
            <w:textDirection w:val="lrTb"/>
            <w:noWrap w:val="false"/>
          </w:tcPr>
          <w:p>
            <w:pPr>
              <w:pStyle w:val="860"/>
              <w:jc w:val="center"/>
              <w:rPr>
                <w:rFonts w:hint="eastAsia" w:ascii="宋体" w:hAnsi="宋体"/>
                <w:szCs w:val="21"/>
              </w:rPr>
            </w:pPr>
            <w:r>
              <w:rPr>
                <w:rFonts w:ascii="宋体" w:hAnsi="宋体"/>
                <w:szCs w:val="21"/>
              </w:rPr>
              <w:t xml:space="preserve">日本三菱</w:t>
            </w:r>
            <w:r>
              <w:rPr>
                <w:rFonts w:hint="eastAsia" w:ascii="宋体" w:hAnsi="宋体"/>
                <w:szCs w:val="21"/>
              </w:rPr>
            </w:r>
            <w:r/>
          </w:p>
        </w:tc>
        <w:tc>
          <w:tcPr>
            <w:tcW w:w="687" w:type="pct"/>
            <w:vAlign w:val="center"/>
            <w:textDirection w:val="lrTb"/>
            <w:noWrap w:val="false"/>
          </w:tcPr>
          <w:p>
            <w:pPr>
              <w:pStyle w:val="860"/>
              <w:jc w:val="center"/>
              <w:rPr>
                <w:rFonts w:hint="eastAsia" w:ascii="宋体" w:hAnsi="宋体"/>
                <w:szCs w:val="21"/>
              </w:rPr>
            </w:pPr>
            <w:r>
              <w:rPr>
                <w:rFonts w:ascii="宋体" w:hAnsi="宋体"/>
                <w:szCs w:val="21"/>
              </w:rPr>
              <w:t xml:space="preserve">GPS-3</w:t>
            </w:r>
            <w:r>
              <w:rPr>
                <w:rFonts w:hint="eastAsia" w:ascii="宋体" w:hAnsi="宋体"/>
                <w:szCs w:val="21"/>
              </w:rPr>
            </w:r>
            <w:r/>
          </w:p>
        </w:tc>
        <w:tc>
          <w:tcPr>
            <w:tcW w:w="658" w:type="pct"/>
            <w:vAlign w:val="center"/>
            <w:textDirection w:val="lrTb"/>
            <w:noWrap w:val="false"/>
          </w:tcPr>
          <w:p>
            <w:pPr>
              <w:pStyle w:val="860"/>
              <w:jc w:val="center"/>
              <w:rPr>
                <w:rFonts w:hint="eastAsia" w:ascii="宋体" w:hAnsi="宋体"/>
                <w:szCs w:val="21"/>
              </w:rPr>
            </w:pPr>
            <w:r>
              <w:rPr>
                <w:rFonts w:ascii="宋体" w:hAnsi="宋体"/>
                <w:szCs w:val="21"/>
              </w:rPr>
              <w:t xml:space="preserve">1号楼中厅</w:t>
            </w:r>
            <w:r>
              <w:rPr>
                <w:rFonts w:hint="eastAsia" w:ascii="宋体" w:hAnsi="宋体"/>
                <w:szCs w:val="21"/>
              </w:rPr>
            </w:r>
            <w:r/>
          </w:p>
        </w:tc>
        <w:tc>
          <w:tcPr>
            <w:tcW w:w="576" w:type="pct"/>
            <w:vAlign w:val="center"/>
            <w:textDirection w:val="lrTb"/>
            <w:noWrap w:val="false"/>
          </w:tcPr>
          <w:p>
            <w:pPr>
              <w:pStyle w:val="860"/>
              <w:jc w:val="center"/>
              <w:rPr>
                <w:rFonts w:hint="eastAsia" w:ascii="宋体" w:hAnsi="宋体"/>
                <w:szCs w:val="21"/>
              </w:rPr>
            </w:pPr>
            <w:r>
              <w:rPr>
                <w:rFonts w:ascii="宋体" w:hAnsi="宋体"/>
                <w:szCs w:val="21"/>
              </w:rPr>
              <w:t xml:space="preserve">2000年</w:t>
            </w:r>
            <w:r>
              <w:rPr>
                <w:rFonts w:hint="eastAsia" w:ascii="宋体" w:hAnsi="宋体"/>
                <w:szCs w:val="21"/>
              </w:rPr>
            </w:r>
            <w:r/>
          </w:p>
        </w:tc>
        <w:tc>
          <w:tcPr>
            <w:tcW w:w="612" w:type="pct"/>
            <w:vAlign w:val="center"/>
            <w:textDirection w:val="lrTb"/>
            <w:noWrap w:val="false"/>
          </w:tcPr>
          <w:p>
            <w:pPr>
              <w:pStyle w:val="860"/>
              <w:jc w:val="center"/>
              <w:rPr>
                <w:rFonts w:hint="eastAsia" w:ascii="宋体" w:hAnsi="宋体"/>
                <w:szCs w:val="21"/>
              </w:rPr>
            </w:pPr>
            <w:r>
              <w:rPr>
                <w:rFonts w:ascii="宋体" w:hAnsi="宋体"/>
                <w:szCs w:val="21"/>
              </w:rPr>
              <w:t xml:space="preserve">1000KG</w:t>
            </w:r>
            <w:r>
              <w:rPr>
                <w:rFonts w:hint="eastAsia" w:ascii="宋体" w:hAnsi="宋体"/>
                <w:szCs w:val="21"/>
              </w:rPr>
            </w:r>
            <w:r/>
          </w:p>
          <w:p>
            <w:pPr>
              <w:pStyle w:val="860"/>
              <w:jc w:val="center"/>
              <w:rPr>
                <w:rFonts w:hint="eastAsia" w:ascii="宋体" w:hAnsi="宋体"/>
                <w:szCs w:val="21"/>
              </w:rPr>
            </w:pPr>
            <w:r>
              <w:rPr>
                <w:rFonts w:ascii="宋体" w:hAnsi="宋体"/>
                <w:szCs w:val="21"/>
              </w:rPr>
              <w:t xml:space="preserve">2.5m/s</w:t>
            </w:r>
            <w:r>
              <w:rPr>
                <w:rFonts w:hint="eastAsia" w:ascii="宋体" w:hAnsi="宋体"/>
                <w:szCs w:val="21"/>
              </w:rPr>
            </w:r>
            <w:r/>
          </w:p>
        </w:tc>
        <w:tc>
          <w:tcPr>
            <w:tcW w:w="419" w:type="pct"/>
            <w:vAlign w:val="center"/>
            <w:textDirection w:val="lrTb"/>
            <w:noWrap w:val="false"/>
          </w:tcPr>
          <w:p>
            <w:pPr>
              <w:pStyle w:val="860"/>
              <w:jc w:val="center"/>
              <w:rPr>
                <w:rFonts w:hint="eastAsia" w:ascii="宋体" w:hAnsi="宋体"/>
                <w:szCs w:val="21"/>
              </w:rPr>
            </w:pPr>
            <w:r>
              <w:rPr>
                <w:rFonts w:ascii="宋体" w:hAnsi="宋体"/>
                <w:szCs w:val="21"/>
              </w:rPr>
              <w:t xml:space="preserve">1</w:t>
            </w:r>
            <w:r>
              <w:rPr>
                <w:rFonts w:hint="eastAsia" w:ascii="宋体" w:hAnsi="宋体"/>
                <w:szCs w:val="21"/>
              </w:rPr>
              <w:t xml:space="preserve">部</w:t>
            </w:r>
            <w:r/>
          </w:p>
        </w:tc>
      </w:tr>
    </w:tbl>
    <w:p>
      <w:pPr>
        <w:pStyle w:val="873"/>
        <w:rPr>
          <w:rFonts w:hint="eastAsia"/>
          <w:lang w:eastAsia="zh-CN"/>
        </w:rPr>
      </w:pPr>
      <w:r>
        <w:rPr>
          <w:rFonts w:hint="eastAsia"/>
          <w:lang w:eastAsia="zh-CN"/>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t xml:space="preserve">第五章  评标方法与评标标准</w:t>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1.采用综合评分法，评标结果按评审后得分由高到低顺序排列。得分相同的，按投标报价由低到高顺序排列。得分且投标报价相同的，按“三、评标标准中</w:t>
      </w:r>
      <w:r>
        <w:rPr>
          <w:rFonts w:hint="eastAsia" w:ascii="宋体" w:hAnsi="宋体"/>
          <w:sz w:val="24"/>
          <w:szCs w:val="24"/>
        </w:rPr>
        <w:t xml:space="preserve">-2技术</w:t>
      </w:r>
      <w:r>
        <w:rPr>
          <w:rFonts w:hint="eastAsia" w:ascii="宋体" w:hAnsi="宋体" w:cs="宋体"/>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3名</w:t>
      </w:r>
      <w:r>
        <w:rPr>
          <w:rFonts w:hint="eastAsia" w:ascii="宋体" w:hAnsi="宋体" w:cs="宋体"/>
          <w:sz w:val="24"/>
          <w:szCs w:val="24"/>
        </w:rPr>
        <w:t xml:space="preserve">中标候选人。</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pStyle w:val="860"/>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二、小微企业价格扣除</w:t>
      </w:r>
      <w:r>
        <w:rPr>
          <w:rFonts w:ascii="黑体" w:hAnsi="黑体" w:eastAsia="黑体" w:cs="黑体"/>
          <w:sz w:val="24"/>
          <w:szCs w:val="24"/>
        </w:rPr>
      </w:r>
      <w:r/>
    </w:p>
    <w:p>
      <w:pPr>
        <w:pStyle w:val="860"/>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pStyle w:val="860"/>
        <w:ind w:firstLine="480"/>
        <w:spacing w:line="264" w:lineRule="auto"/>
        <w:rPr>
          <w:rFonts w:hint="eastAsia"/>
        </w:rPr>
      </w:pPr>
      <w:r>
        <w:rPr>
          <w:rFonts w:hint="eastAsia" w:ascii="黑体" w:hAnsi="黑体" w:eastAsia="黑体" w:cs="黑体"/>
          <w:sz w:val="24"/>
          <w:szCs w:val="24"/>
        </w:rPr>
        <w:t xml:space="preserve">三、评标标准</w:t>
      </w:r>
      <w:r>
        <w:rPr>
          <w:rFonts w:hint="eastAsia"/>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Borders>
              <w:top w:val="single" w:color="000000" w:sz="2" w:space="0"/>
              <w:bottom w:val="single" w:color="000000" w:sz="2" w:space="0"/>
            </w:tcBorders>
            <w:tcW w:w="519"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330"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647"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900"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0"/>
              <w:ind w:left="114"/>
              <w:spacing w:before="122" w:line="264" w:lineRule="auto"/>
              <w:rPr>
                <w:rFonts w:hint="eastAsia"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rPr>
                <w:rFonts w:hint="eastAsia" w:ascii="宋体" w:hAnsi="宋体" w:cs="宋体"/>
                <w:szCs w:val="21"/>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rPr>
                <w:rFonts w:hint="eastAsia" w:ascii="宋体" w:hAnsi="宋体" w:cs="宋体"/>
                <w:szCs w:val="21"/>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pacing w:val="-2"/>
                <w:szCs w:val="21"/>
              </w:rPr>
              <w:t xml:space="preserve">价格分</w:t>
            </w:r>
            <w:r>
              <w:rPr>
                <w:rFonts w:hint="eastAsia"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860"/>
              <w:jc w:val="left"/>
              <w:spacing w:line="264" w:lineRule="auto"/>
              <w:rPr>
                <w:rFonts w:hint="eastAsia"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30</w:t>
            </w:r>
            <w:r/>
          </w:p>
        </w:tc>
        <w:tc>
          <w:tcPr>
            <w:tcBorders>
              <w:top w:val="single" w:color="000000" w:sz="2" w:space="0"/>
              <w:bottom w:val="single" w:color="000000" w:sz="2" w:space="0"/>
            </w:tcBorders>
            <w:tcW w:w="900"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价格分</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0"/>
              <w:ind w:left="114"/>
              <w:spacing w:before="123" w:line="264" w:lineRule="auto"/>
              <w:rPr>
                <w:rFonts w:hint="eastAsia" w:ascii="宋体" w:hAnsi="宋体" w:cs="宋体"/>
                <w:szCs w:val="21"/>
              </w:rPr>
            </w:pPr>
            <w:r>
              <w:rPr>
                <w:rFonts w:hint="eastAsia" w:ascii="宋体" w:hAnsi="宋体" w:cs="宋体"/>
                <w:b/>
                <w:bCs/>
                <w:spacing w:val="-3"/>
                <w:szCs w:val="21"/>
              </w:rPr>
              <w:t xml:space="preserve">2.技术</w:t>
            </w:r>
            <w:r>
              <w:rPr>
                <w:rFonts w:hint="eastAsia" w:ascii="宋体" w:hAnsi="宋体" w:cs="宋体"/>
                <w:szCs w:val="21"/>
              </w:rPr>
            </w:r>
            <w:r/>
          </w:p>
        </w:tc>
      </w:tr>
      <w:tr>
        <w:trPr>
          <w:trHeight w:val="891"/>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pacing w:val="-2"/>
                <w:szCs w:val="21"/>
              </w:rPr>
            </w:pPr>
            <w:r>
              <w:rPr>
                <w:rFonts w:hint="eastAsia" w:ascii="宋体" w:hAnsi="宋体" w:cs="宋体"/>
                <w:spacing w:val="-2"/>
                <w:szCs w:val="21"/>
              </w:rPr>
              <w:t xml:space="preserve">产品技术参数</w:t>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hint="eastAsia" w:ascii="宋体" w:hAnsi="宋体" w:cs="宋体"/>
                <w:spacing w:val="1"/>
                <w:szCs w:val="21"/>
              </w:rPr>
            </w:pPr>
            <w:r>
              <w:rPr>
                <w:rFonts w:hint="eastAsia" w:ascii="宋体" w:hAnsi="宋体" w:cs="宋体"/>
                <w:szCs w:val="21"/>
              </w:rPr>
              <w:t xml:space="preserve">产品技术参数全部满足招标要求的得满分，打★指标为必须满足项，如有负偏离将作为无效投标，打▲指标为重要指标，有1项负偏离扣2分，其余指标有1项负偏离扣1分，扣完为止。</w:t>
            </w:r>
            <w:r>
              <w:rPr>
                <w:rFonts w:hint="eastAsia" w:ascii="宋体" w:hAnsi="宋体" w:cs="宋体"/>
                <w:spacing w:val="1"/>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19</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2.2</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zCs w:val="21"/>
              </w:rPr>
              <w:t xml:space="preserve">产品兼容</w:t>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hint="eastAsia" w:ascii="宋体" w:hAnsi="宋体" w:cs="宋体"/>
                <w:szCs w:val="21"/>
              </w:rPr>
            </w:pPr>
            <w:r>
              <w:rPr>
                <w:rFonts w:hint="eastAsia" w:ascii="宋体" w:hAnsi="宋体" w:cs="宋体"/>
                <w:szCs w:val="21"/>
              </w:rPr>
              <w:t xml:space="preserve">所投电梯的主要部件（曳引机、控制柜、门机、安全钳、限速器、缓冲器）与所投电梯整梯为同一品牌，有一项满足得1分，共6分，未提供不得分（提供所投梯型整机型式试验报告）。</w:t>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客观分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2.3</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zCs w:val="21"/>
              </w:rPr>
              <w:t xml:space="preserve">电梯制动器性能</w:t>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hint="eastAsia" w:ascii="宋体" w:hAnsi="宋体" w:cs="宋体"/>
                <w:szCs w:val="21"/>
              </w:rPr>
            </w:pPr>
            <w:r>
              <w:rPr>
                <w:rFonts w:hint="eastAsia" w:ascii="宋体" w:hAnsi="宋体" w:cs="宋体"/>
                <w:szCs w:val="21"/>
              </w:rPr>
              <w:t xml:space="preserve">所投电梯</w:t>
            </w:r>
            <w:r>
              <w:rPr>
                <w:rFonts w:hint="eastAsia"/>
                <w:szCs w:val="21"/>
              </w:rPr>
              <w:t xml:space="preserve">的</w:t>
            </w:r>
            <w:r>
              <w:rPr>
                <w:rFonts w:hint="eastAsia" w:ascii="宋体" w:hAnsi="宋体" w:cs="宋体"/>
                <w:szCs w:val="21"/>
              </w:rPr>
              <w:t xml:space="preserve">制动器无故障运行次数（无任何故障及更换部件进行评分），≥1800万次得2分；1500万次≤无故障运行次数＜1800万次得1分。</w:t>
            </w:r>
            <w:r/>
          </w:p>
          <w:p>
            <w:pPr>
              <w:pStyle w:val="860"/>
              <w:spacing w:line="264" w:lineRule="auto"/>
              <w:rPr>
                <w:rFonts w:hint="eastAsia" w:ascii="宋体" w:hAnsi="宋体" w:cs="宋体"/>
                <w:szCs w:val="21"/>
              </w:rPr>
            </w:pPr>
            <w:r>
              <w:rPr>
                <w:rFonts w:hint="eastAsia"/>
                <w:szCs w:val="21"/>
              </w:rPr>
              <w:t xml:space="preserve">注：（</w:t>
            </w:r>
            <w:r>
              <w:rPr>
                <w:szCs w:val="21"/>
              </w:rPr>
              <w:t xml:space="preserve">1</w:t>
            </w:r>
            <w:r>
              <w:rPr>
                <w:rFonts w:hint="eastAsia"/>
                <w:szCs w:val="21"/>
              </w:rPr>
              <w:t xml:space="preserve">）以上提供具有</w:t>
            </w:r>
            <w:r>
              <w:rPr>
                <w:szCs w:val="21"/>
              </w:rPr>
              <w:t xml:space="preserve">CMA</w:t>
            </w:r>
            <w:r>
              <w:rPr>
                <w:rFonts w:hint="eastAsia"/>
                <w:szCs w:val="21"/>
              </w:rPr>
              <w:t xml:space="preserve">标识的检测报告；（</w:t>
            </w:r>
            <w:r>
              <w:rPr>
                <w:szCs w:val="21"/>
              </w:rPr>
              <w:t xml:space="preserve">2</w:t>
            </w:r>
            <w:r>
              <w:rPr>
                <w:rFonts w:hint="eastAsia"/>
                <w:szCs w:val="21"/>
              </w:rPr>
              <w:t xml:space="preserve">）为方便评委评审，功能参数可用箭头、标红或下划线等进行明显标注。</w:t>
            </w:r>
            <w:r>
              <w:rPr>
                <w:rFonts w:hint="eastAsia" w:ascii="宋体" w:hAnsi="宋体" w:cs="宋体"/>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2.4</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zCs w:val="21"/>
              </w:rPr>
              <w:t xml:space="preserve">永磁同步门性能</w:t>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hint="eastAsia" w:ascii="宋体" w:hAnsi="宋体" w:cs="宋体"/>
                <w:szCs w:val="21"/>
              </w:rPr>
            </w:pPr>
            <w:r>
              <w:rPr>
                <w:rFonts w:hint="eastAsia" w:ascii="宋体" w:hAnsi="宋体" w:cs="宋体"/>
                <w:szCs w:val="21"/>
              </w:rPr>
              <w:t xml:space="preserve">所投电梯</w:t>
            </w:r>
            <w:r>
              <w:rPr>
                <w:rFonts w:hint="eastAsia"/>
                <w:szCs w:val="21"/>
              </w:rPr>
              <w:t xml:space="preserve">的</w:t>
            </w:r>
            <w:r>
              <w:rPr>
                <w:rFonts w:hint="eastAsia" w:ascii="宋体" w:hAnsi="宋体" w:cs="宋体"/>
                <w:szCs w:val="21"/>
              </w:rPr>
              <w:t xml:space="preserve">永磁同步门系统无故障运行次数 (无任何故障且未更换部件）进行评分，≥1350万次得2分；1200万次≤无故障运行次数＜1350万次，得1分；其他不得分。 </w:t>
            </w:r>
            <w:r/>
          </w:p>
          <w:p>
            <w:pPr>
              <w:pStyle w:val="982"/>
              <w:rPr>
                <w:rFonts w:hint="eastAsia"/>
                <w:sz w:val="21"/>
                <w:szCs w:val="21"/>
                <w:lang w:val="en-US" w:bidi="ar-SA"/>
              </w:rPr>
            </w:pPr>
            <w:r>
              <w:rPr>
                <w:rFonts w:hint="eastAsia"/>
                <w:sz w:val="21"/>
                <w:szCs w:val="21"/>
                <w:lang w:val="en-US" w:bidi="ar-SA"/>
              </w:rPr>
              <w:t xml:space="preserve">注：（</w:t>
            </w:r>
            <w:r>
              <w:rPr>
                <w:sz w:val="21"/>
                <w:szCs w:val="21"/>
                <w:lang w:val="en-US" w:bidi="ar-SA"/>
              </w:rPr>
              <w:t xml:space="preserve">1</w:t>
            </w:r>
            <w:r>
              <w:rPr>
                <w:rFonts w:hint="eastAsia"/>
                <w:sz w:val="21"/>
                <w:szCs w:val="21"/>
                <w:lang w:val="en-US" w:bidi="ar-SA"/>
              </w:rPr>
              <w:t xml:space="preserve">）以上提供具有</w:t>
            </w:r>
            <w:r>
              <w:rPr>
                <w:sz w:val="21"/>
                <w:szCs w:val="21"/>
                <w:lang w:val="en-US" w:bidi="ar-SA"/>
              </w:rPr>
              <w:t xml:space="preserve">CMA</w:t>
            </w:r>
            <w:r>
              <w:rPr>
                <w:rFonts w:hint="eastAsia"/>
                <w:sz w:val="21"/>
                <w:szCs w:val="21"/>
                <w:lang w:val="en-US" w:bidi="ar-SA"/>
              </w:rPr>
              <w:t xml:space="preserve">标识的检测报告；（</w:t>
            </w:r>
            <w:r>
              <w:rPr>
                <w:sz w:val="21"/>
                <w:szCs w:val="21"/>
                <w:lang w:val="en-US" w:bidi="ar-SA"/>
              </w:rPr>
              <w:t xml:space="preserve">2</w:t>
            </w:r>
            <w:r>
              <w:rPr>
                <w:rFonts w:hint="eastAsia"/>
                <w:sz w:val="21"/>
                <w:szCs w:val="21"/>
                <w:lang w:val="en-US" w:bidi="ar-SA"/>
              </w:rPr>
              <w:t xml:space="preserve">）为方便评委评审，功能参数可用箭头、标红或下划线等进行明显标注。</w:t>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900"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客观分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2.5</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zCs w:val="21"/>
              </w:rPr>
              <w:t xml:space="preserve">垂直电梯控制柜性能</w:t>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ascii="宋体" w:hAnsi="宋体" w:cs="宋体"/>
                <w:szCs w:val="21"/>
              </w:rPr>
            </w:pPr>
            <w:r/>
            <w:bookmarkStart w:id="201" w:name="OLE_LINK10"/>
            <w:r>
              <w:rPr>
                <w:rFonts w:hint="eastAsia" w:ascii="宋体" w:hAnsi="宋体" w:cs="宋体"/>
                <w:szCs w:val="21"/>
              </w:rPr>
              <w:t xml:space="preserve">所投电梯</w:t>
            </w:r>
            <w:r>
              <w:rPr>
                <w:rFonts w:hint="eastAsia"/>
                <w:szCs w:val="21"/>
              </w:rPr>
              <w:t xml:space="preserve">的</w:t>
            </w:r>
            <w:bookmarkEnd w:id="201"/>
            <w:r>
              <w:rPr>
                <w:rFonts w:hint="eastAsia" w:ascii="宋体" w:hAnsi="宋体" w:cs="宋体"/>
                <w:szCs w:val="21"/>
              </w:rPr>
              <w:t xml:space="preserve">垂直电梯控制柜按GB/T 17626.5-2019的试验要求进行浪涌（冲击）抗扰度试验，针对抗雷击浪涌干扰能力进行评测，＞±20KV的得</w:t>
            </w:r>
            <w:r>
              <w:rPr>
                <w:rFonts w:ascii="宋体" w:hAnsi="宋体" w:cs="宋体"/>
                <w:szCs w:val="21"/>
              </w:rPr>
              <w:t xml:space="preserve">3</w:t>
            </w:r>
            <w:r>
              <w:rPr>
                <w:rFonts w:hint="eastAsia" w:ascii="宋体" w:hAnsi="宋体" w:cs="宋体"/>
                <w:szCs w:val="21"/>
              </w:rPr>
              <w:t xml:space="preserve">分，≥±15KV且≤±20KV的得2分，≥±10KV且＜±15KV的得1分。</w:t>
            </w:r>
            <w:r>
              <w:rPr>
                <w:rFonts w:ascii="宋体" w:hAnsi="宋体" w:cs="宋体"/>
                <w:szCs w:val="21"/>
              </w:rPr>
            </w:r>
            <w:r/>
          </w:p>
          <w:p>
            <w:pPr>
              <w:pStyle w:val="982"/>
              <w:rPr>
                <w:rFonts w:hint="eastAsia"/>
                <w:sz w:val="21"/>
                <w:szCs w:val="21"/>
                <w:lang w:val="en-US" w:bidi="ar-SA"/>
              </w:rPr>
            </w:pPr>
            <w:r>
              <w:rPr>
                <w:rFonts w:hint="eastAsia"/>
                <w:sz w:val="21"/>
                <w:szCs w:val="21"/>
                <w:lang w:val="en-US" w:bidi="ar-SA"/>
              </w:rPr>
              <w:t xml:space="preserve">注：（</w:t>
            </w:r>
            <w:r>
              <w:rPr>
                <w:sz w:val="21"/>
                <w:szCs w:val="21"/>
                <w:lang w:val="en-US" w:bidi="ar-SA"/>
              </w:rPr>
              <w:t xml:space="preserve">1</w:t>
            </w:r>
            <w:r>
              <w:rPr>
                <w:rFonts w:hint="eastAsia"/>
                <w:sz w:val="21"/>
                <w:szCs w:val="21"/>
                <w:lang w:val="en-US" w:bidi="ar-SA"/>
              </w:rPr>
              <w:t xml:space="preserve">）以上提供具有</w:t>
            </w:r>
            <w:r>
              <w:rPr>
                <w:sz w:val="21"/>
                <w:szCs w:val="21"/>
                <w:lang w:val="en-US" w:bidi="ar-SA"/>
              </w:rPr>
              <w:t xml:space="preserve">CMA</w:t>
            </w:r>
            <w:r>
              <w:rPr>
                <w:rFonts w:hint="eastAsia"/>
                <w:sz w:val="21"/>
                <w:szCs w:val="21"/>
                <w:lang w:val="en-US" w:bidi="ar-SA"/>
              </w:rPr>
              <w:t xml:space="preserve">标识的检测报告；（</w:t>
            </w:r>
            <w:r>
              <w:rPr>
                <w:sz w:val="21"/>
                <w:szCs w:val="21"/>
                <w:lang w:val="en-US" w:bidi="ar-SA"/>
              </w:rPr>
              <w:t xml:space="preserve">2</w:t>
            </w:r>
            <w:r>
              <w:rPr>
                <w:rFonts w:hint="eastAsia"/>
                <w:sz w:val="21"/>
                <w:szCs w:val="21"/>
                <w:lang w:val="en-US" w:bidi="ar-SA"/>
              </w:rPr>
              <w:t xml:space="preserve">）为方便评委评审，功能参数可用箭头、标红或下划线等进行明显标注。</w:t>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900"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客观分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2.6</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zCs w:val="21"/>
              </w:rPr>
              <w:t xml:space="preserve">永磁同步电动机效能</w:t>
            </w:r>
            <w:r/>
          </w:p>
        </w:tc>
        <w:tc>
          <w:tcPr>
            <w:tcBorders>
              <w:top w:val="single" w:color="000000" w:sz="2" w:space="0"/>
              <w:bottom w:val="single" w:color="000000" w:sz="2" w:space="0"/>
            </w:tcBorders>
            <w:tcW w:w="6330" w:type="dxa"/>
            <w:vAlign w:val="center"/>
            <w:textDirection w:val="lrTb"/>
            <w:noWrap w:val="false"/>
          </w:tcPr>
          <w:p>
            <w:pPr>
              <w:pStyle w:val="982"/>
              <w:rPr>
                <w:szCs w:val="21"/>
              </w:rPr>
            </w:pPr>
            <w:r>
              <w:rPr>
                <w:rFonts w:hint="eastAsia"/>
                <w:szCs w:val="21"/>
              </w:rPr>
              <w:t xml:space="preserve">所投电梯的永磁同步电动机能效等级为1级的得1分。</w:t>
            </w:r>
            <w:r>
              <w:rPr>
                <w:szCs w:val="21"/>
              </w:rPr>
            </w:r>
            <w:r/>
          </w:p>
          <w:p>
            <w:pPr>
              <w:pStyle w:val="982"/>
              <w:rPr>
                <w:rFonts w:hint="eastAsia"/>
                <w:sz w:val="21"/>
                <w:szCs w:val="21"/>
                <w:lang w:val="en-US" w:bidi="ar-SA"/>
              </w:rPr>
            </w:pPr>
            <w:r>
              <w:rPr>
                <w:rFonts w:hint="eastAsia"/>
                <w:sz w:val="21"/>
                <w:szCs w:val="21"/>
                <w:lang w:val="en-US" w:bidi="ar-SA"/>
              </w:rPr>
              <w:t xml:space="preserve">注：（</w:t>
            </w:r>
            <w:r>
              <w:rPr>
                <w:sz w:val="21"/>
                <w:szCs w:val="21"/>
                <w:lang w:val="en-US" w:bidi="ar-SA"/>
              </w:rPr>
              <w:t xml:space="preserve">1</w:t>
            </w:r>
            <w:r>
              <w:rPr>
                <w:rFonts w:hint="eastAsia"/>
                <w:sz w:val="21"/>
                <w:szCs w:val="21"/>
                <w:lang w:val="en-US" w:bidi="ar-SA"/>
              </w:rPr>
              <w:t xml:space="preserve">）以上提供具有</w:t>
            </w:r>
            <w:r>
              <w:rPr>
                <w:sz w:val="21"/>
                <w:szCs w:val="21"/>
                <w:lang w:val="en-US" w:bidi="ar-SA"/>
              </w:rPr>
              <w:t xml:space="preserve">CMA</w:t>
            </w:r>
            <w:r>
              <w:rPr>
                <w:rFonts w:hint="eastAsia"/>
                <w:sz w:val="21"/>
                <w:szCs w:val="21"/>
                <w:lang w:val="en-US" w:bidi="ar-SA"/>
              </w:rPr>
              <w:t xml:space="preserve">标识的检测报告；（</w:t>
            </w:r>
            <w:r>
              <w:rPr>
                <w:sz w:val="21"/>
                <w:szCs w:val="21"/>
                <w:lang w:val="en-US" w:bidi="ar-SA"/>
              </w:rPr>
              <w:t xml:space="preserve">2</w:t>
            </w:r>
            <w:r>
              <w:rPr>
                <w:rFonts w:hint="eastAsia"/>
                <w:sz w:val="21"/>
                <w:szCs w:val="21"/>
                <w:lang w:val="en-US" w:bidi="ar-SA"/>
              </w:rPr>
              <w:t xml:space="preserve">）为方便评委评审，功能参数可用箭头、标红或下划线等进行明显标注。</w:t>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1</w:t>
            </w:r>
            <w:r/>
          </w:p>
        </w:tc>
        <w:tc>
          <w:tcPr>
            <w:tcBorders>
              <w:top w:val="single" w:color="000000" w:sz="2" w:space="0"/>
              <w:bottom w:val="single" w:color="000000" w:sz="2" w:space="0"/>
            </w:tcBorders>
            <w:tcW w:w="900"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客观分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2.7</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zCs w:val="21"/>
              </w:rPr>
              <w:t xml:space="preserve">电梯按钮按压寿命</w:t>
            </w:r>
            <w:r/>
          </w:p>
        </w:tc>
        <w:tc>
          <w:tcPr>
            <w:tcBorders>
              <w:top w:val="single" w:color="000000" w:sz="2" w:space="0"/>
              <w:bottom w:val="single" w:color="000000" w:sz="2" w:space="0"/>
            </w:tcBorders>
            <w:tcW w:w="6330" w:type="dxa"/>
            <w:vAlign w:val="center"/>
            <w:textDirection w:val="lrTb"/>
            <w:noWrap w:val="false"/>
          </w:tcPr>
          <w:p>
            <w:pPr>
              <w:pStyle w:val="982"/>
              <w:rPr>
                <w:szCs w:val="21"/>
              </w:rPr>
            </w:pPr>
            <w:r>
              <w:rPr>
                <w:rFonts w:hint="eastAsia"/>
                <w:szCs w:val="21"/>
              </w:rPr>
              <w:t xml:space="preserve">所投电梯的电梯按钮进行按压2000万次寿命试验后，按钮功能正常，电气性能良好的得2分，低于2000万次得1分，不提供不得分。</w:t>
            </w:r>
            <w:r>
              <w:rPr>
                <w:szCs w:val="21"/>
              </w:rPr>
            </w:r>
            <w:r/>
          </w:p>
          <w:p>
            <w:pPr>
              <w:pStyle w:val="982"/>
              <w:rPr>
                <w:rFonts w:hint="eastAsia"/>
                <w:sz w:val="21"/>
                <w:szCs w:val="21"/>
                <w:lang w:val="en-US" w:bidi="ar-SA"/>
              </w:rPr>
            </w:pPr>
            <w:r>
              <w:rPr>
                <w:rFonts w:hint="eastAsia"/>
                <w:sz w:val="21"/>
                <w:szCs w:val="21"/>
                <w:lang w:val="en-US" w:bidi="ar-SA"/>
              </w:rPr>
              <w:t xml:space="preserve">注：（</w:t>
            </w:r>
            <w:r>
              <w:rPr>
                <w:sz w:val="21"/>
                <w:szCs w:val="21"/>
                <w:lang w:val="en-US" w:bidi="ar-SA"/>
              </w:rPr>
              <w:t xml:space="preserve">1</w:t>
            </w:r>
            <w:r>
              <w:rPr>
                <w:rFonts w:hint="eastAsia"/>
                <w:sz w:val="21"/>
                <w:szCs w:val="21"/>
                <w:lang w:val="en-US" w:bidi="ar-SA"/>
              </w:rPr>
              <w:t xml:space="preserve">）以上提供具有</w:t>
            </w:r>
            <w:r>
              <w:rPr>
                <w:sz w:val="21"/>
                <w:szCs w:val="21"/>
                <w:lang w:val="en-US" w:bidi="ar-SA"/>
              </w:rPr>
              <w:t xml:space="preserve">CMA</w:t>
            </w:r>
            <w:r>
              <w:rPr>
                <w:rFonts w:hint="eastAsia"/>
                <w:sz w:val="21"/>
                <w:szCs w:val="21"/>
                <w:lang w:val="en-US" w:bidi="ar-SA"/>
              </w:rPr>
              <w:t xml:space="preserve">标识的检测报告；（</w:t>
            </w:r>
            <w:r>
              <w:rPr>
                <w:sz w:val="21"/>
                <w:szCs w:val="21"/>
                <w:lang w:val="en-US" w:bidi="ar-SA"/>
              </w:rPr>
              <w:t xml:space="preserve">2</w:t>
            </w:r>
            <w:r>
              <w:rPr>
                <w:rFonts w:hint="eastAsia"/>
                <w:sz w:val="21"/>
                <w:szCs w:val="21"/>
                <w:lang w:val="en-US" w:bidi="ar-SA"/>
              </w:rPr>
              <w:t xml:space="preserve">）为方便评委评审，功能参数可用箭头、标红或下划线等进行明显标注。</w:t>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900"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客观分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2.8</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zCs w:val="21"/>
              </w:rPr>
              <w:t xml:space="preserve">电梯光幕性能</w:t>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ascii="宋体" w:hAnsi="宋体" w:cs="宋体"/>
                <w:szCs w:val="21"/>
              </w:rPr>
            </w:pPr>
            <w:r>
              <w:rPr>
                <w:rFonts w:hint="eastAsia" w:ascii="宋体" w:hAnsi="宋体" w:cs="宋体"/>
                <w:szCs w:val="21"/>
              </w:rPr>
              <w:t xml:space="preserve">所投电梯</w:t>
            </w:r>
            <w:r>
              <w:rPr>
                <w:rFonts w:hint="eastAsia"/>
                <w:szCs w:val="21"/>
              </w:rPr>
              <w:t xml:space="preserve">的光幕水平，</w:t>
            </w:r>
            <w:r>
              <w:rPr>
                <w:rFonts w:hint="eastAsia" w:ascii="宋体" w:hAnsi="宋体" w:cs="宋体"/>
                <w:szCs w:val="21"/>
              </w:rPr>
              <w:t xml:space="preserve">最大光束数≥2</w:t>
            </w:r>
            <w:r>
              <w:rPr>
                <w:rFonts w:ascii="宋体" w:hAnsi="宋体" w:cs="宋体"/>
                <w:szCs w:val="21"/>
              </w:rPr>
              <w:t xml:space="preserve">30</w:t>
            </w:r>
            <w:r>
              <w:rPr>
                <w:rFonts w:hint="eastAsia" w:ascii="宋体" w:hAnsi="宋体" w:cs="宋体"/>
                <w:szCs w:val="21"/>
              </w:rPr>
              <w:t xml:space="preserve">束得2分，其余不得分。</w:t>
            </w:r>
            <w:r>
              <w:rPr>
                <w:rFonts w:ascii="宋体" w:hAnsi="宋体" w:cs="宋体"/>
                <w:szCs w:val="21"/>
              </w:rPr>
            </w:r>
            <w:r/>
          </w:p>
          <w:p>
            <w:pPr>
              <w:pStyle w:val="982"/>
              <w:rPr>
                <w:rFonts w:hint="eastAsia"/>
                <w:sz w:val="21"/>
                <w:szCs w:val="21"/>
                <w:lang w:val="en-US" w:bidi="ar-SA"/>
              </w:rPr>
            </w:pPr>
            <w:r>
              <w:rPr>
                <w:rFonts w:hint="eastAsia"/>
                <w:sz w:val="21"/>
                <w:szCs w:val="21"/>
                <w:lang w:val="en-US" w:bidi="ar-SA"/>
              </w:rPr>
              <w:t xml:space="preserve">注：（</w:t>
            </w:r>
            <w:r>
              <w:rPr>
                <w:sz w:val="21"/>
                <w:szCs w:val="21"/>
                <w:lang w:val="en-US" w:bidi="ar-SA"/>
              </w:rPr>
              <w:t xml:space="preserve">1</w:t>
            </w:r>
            <w:r>
              <w:rPr>
                <w:rFonts w:hint="eastAsia"/>
                <w:sz w:val="21"/>
                <w:szCs w:val="21"/>
                <w:lang w:val="en-US" w:bidi="ar-SA"/>
              </w:rPr>
              <w:t xml:space="preserve">）以上提供具有</w:t>
            </w:r>
            <w:r>
              <w:rPr>
                <w:sz w:val="21"/>
                <w:szCs w:val="21"/>
                <w:lang w:val="en-US" w:bidi="ar-SA"/>
              </w:rPr>
              <w:t xml:space="preserve">CMA</w:t>
            </w:r>
            <w:r>
              <w:rPr>
                <w:rFonts w:hint="eastAsia"/>
                <w:sz w:val="21"/>
                <w:szCs w:val="21"/>
                <w:lang w:val="en-US" w:bidi="ar-SA"/>
              </w:rPr>
              <w:t xml:space="preserve">标识的检测报告；（</w:t>
            </w:r>
            <w:r>
              <w:rPr>
                <w:sz w:val="21"/>
                <w:szCs w:val="21"/>
                <w:lang w:val="en-US" w:bidi="ar-SA"/>
              </w:rPr>
              <w:t xml:space="preserve">2</w:t>
            </w:r>
            <w:r>
              <w:rPr>
                <w:rFonts w:hint="eastAsia"/>
                <w:sz w:val="21"/>
                <w:szCs w:val="21"/>
                <w:lang w:val="en-US" w:bidi="ar-SA"/>
              </w:rPr>
              <w:t xml:space="preserve">）为方便评委评审，功能参数可用箭头、标红或下划线等进行明显标注。</w:t>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900"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客观分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2.9</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zCs w:val="21"/>
              </w:rPr>
              <w:t xml:space="preserve">电梯制动器静载</w:t>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hint="eastAsia" w:ascii="宋体" w:hAnsi="宋体" w:cs="宋体"/>
                <w:szCs w:val="21"/>
              </w:rPr>
            </w:pPr>
            <w:r>
              <w:rPr>
                <w:rFonts w:hint="eastAsia" w:ascii="宋体" w:hAnsi="宋体" w:cs="宋体"/>
                <w:szCs w:val="21"/>
              </w:rPr>
              <w:t xml:space="preserve">所投电梯</w:t>
            </w:r>
            <w:r>
              <w:rPr>
                <w:rFonts w:hint="eastAsia"/>
                <w:szCs w:val="21"/>
              </w:rPr>
              <w:t xml:space="preserve">产品的</w:t>
            </w:r>
            <w:r>
              <w:rPr>
                <w:rFonts w:hint="eastAsia" w:ascii="宋体" w:hAnsi="宋体" w:cs="宋体"/>
                <w:szCs w:val="21"/>
              </w:rPr>
              <w:t xml:space="preserve">电梯制动器静载200%并能保持20分钟及以上，得2分；不满足或未提供不得分。</w:t>
            </w:r>
            <w:r/>
          </w:p>
          <w:p>
            <w:pPr>
              <w:pStyle w:val="982"/>
              <w:rPr>
                <w:rFonts w:hint="eastAsia"/>
                <w:sz w:val="21"/>
                <w:szCs w:val="21"/>
                <w:lang w:val="en-US" w:bidi="ar-SA"/>
              </w:rPr>
            </w:pPr>
            <w:r>
              <w:rPr>
                <w:rFonts w:hint="eastAsia"/>
                <w:sz w:val="21"/>
                <w:szCs w:val="21"/>
                <w:lang w:val="en-US" w:bidi="ar-SA"/>
              </w:rPr>
              <w:t xml:space="preserve">注：（</w:t>
            </w:r>
            <w:r>
              <w:rPr>
                <w:sz w:val="21"/>
                <w:szCs w:val="21"/>
                <w:lang w:val="en-US" w:bidi="ar-SA"/>
              </w:rPr>
              <w:t xml:space="preserve">1</w:t>
            </w:r>
            <w:r>
              <w:rPr>
                <w:rFonts w:hint="eastAsia"/>
                <w:sz w:val="21"/>
                <w:szCs w:val="21"/>
                <w:lang w:val="en-US" w:bidi="ar-SA"/>
              </w:rPr>
              <w:t xml:space="preserve">）以上提供具有</w:t>
            </w:r>
            <w:r>
              <w:rPr>
                <w:sz w:val="21"/>
                <w:szCs w:val="21"/>
                <w:lang w:val="en-US" w:bidi="ar-SA"/>
              </w:rPr>
              <w:t xml:space="preserve">CMA</w:t>
            </w:r>
            <w:r>
              <w:rPr>
                <w:rFonts w:hint="eastAsia"/>
                <w:sz w:val="21"/>
                <w:szCs w:val="21"/>
                <w:lang w:val="en-US" w:bidi="ar-SA"/>
              </w:rPr>
              <w:t xml:space="preserve">标识的检测报告；（</w:t>
            </w:r>
            <w:r>
              <w:rPr>
                <w:sz w:val="21"/>
                <w:szCs w:val="21"/>
                <w:lang w:val="en-US" w:bidi="ar-SA"/>
              </w:rPr>
              <w:t xml:space="preserve">2</w:t>
            </w:r>
            <w:r>
              <w:rPr>
                <w:rFonts w:hint="eastAsia"/>
                <w:sz w:val="21"/>
                <w:szCs w:val="21"/>
                <w:lang w:val="en-US" w:bidi="ar-SA"/>
              </w:rPr>
              <w:t xml:space="preserve">）为方便评委评审，功能参数可用箭头、标红或下划线等进行明显标注。</w:t>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900"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客观分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2.10</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zCs w:val="21"/>
              </w:rPr>
              <w:t xml:space="preserve">电梯控制柜电压</w:t>
            </w:r>
            <w:r/>
          </w:p>
        </w:tc>
        <w:tc>
          <w:tcPr>
            <w:tcBorders>
              <w:top w:val="single" w:color="000000" w:sz="2" w:space="0"/>
              <w:bottom w:val="single" w:color="000000" w:sz="2" w:space="0"/>
            </w:tcBorders>
            <w:tcW w:w="6330" w:type="dxa"/>
            <w:vAlign w:val="center"/>
            <w:textDirection w:val="lrTb"/>
            <w:noWrap w:val="false"/>
          </w:tcPr>
          <w:p>
            <w:pPr>
              <w:pStyle w:val="982"/>
              <w:rPr>
                <w:szCs w:val="21"/>
              </w:rPr>
            </w:pPr>
            <w:r>
              <w:rPr>
                <w:rFonts w:hint="eastAsia"/>
                <w:szCs w:val="21"/>
              </w:rPr>
              <w:t xml:space="preserve">所投电梯产品的电梯控制柜在满足TSG T7007-2022试验依据条件下，供电电压在三相AC380V的基础上，电压波动±20%试验符合要求的得2分，电压波动±15%试验符合要求的的1分，其他不得分。</w:t>
            </w:r>
            <w:r>
              <w:rPr>
                <w:szCs w:val="21"/>
              </w:rPr>
            </w:r>
            <w:r/>
          </w:p>
          <w:p>
            <w:pPr>
              <w:pStyle w:val="982"/>
              <w:rPr>
                <w:rFonts w:hint="eastAsia"/>
                <w:sz w:val="21"/>
                <w:szCs w:val="21"/>
                <w:lang w:val="en-US" w:bidi="ar-SA"/>
              </w:rPr>
            </w:pPr>
            <w:r/>
            <w:bookmarkStart w:id="202" w:name="OLE_LINK6"/>
            <w:r>
              <w:rPr>
                <w:rFonts w:hint="eastAsia"/>
                <w:sz w:val="21"/>
                <w:szCs w:val="21"/>
                <w:lang w:val="en-US" w:bidi="ar-SA"/>
              </w:rPr>
              <w:t xml:space="preserve">注：（1）以上提供具有CMA标识的检测报告；（2）为方便评委评审，功能参数可用箭头、标红或下划线等进行明显标注。</w:t>
            </w:r>
            <w:bookmarkEnd w:id="202"/>
            <w:r>
              <w:rPr>
                <w:rFonts w:hint="eastAsia"/>
                <w:sz w:val="21"/>
                <w:szCs w:val="21"/>
                <w:lang w:val="en-US" w:bidi="ar-SA"/>
              </w:rPr>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900"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客观分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   2.11</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zCs w:val="21"/>
              </w:rPr>
            </w:pPr>
            <w:r>
              <w:rPr>
                <w:rFonts w:hint="eastAsia" w:ascii="宋体" w:hAnsi="宋体" w:cs="宋体"/>
                <w:szCs w:val="21"/>
              </w:rPr>
              <w:t xml:space="preserve">拆梯方案</w:t>
            </w:r>
            <w:r>
              <w:rPr>
                <w:rFonts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982"/>
              <w:rPr>
                <w:rFonts w:hint="eastAsia"/>
                <w:sz w:val="21"/>
                <w:szCs w:val="21"/>
                <w:lang w:val="en-US" w:bidi="ar-SA"/>
              </w:rPr>
            </w:pPr>
            <w:r/>
            <w:bookmarkStart w:id="203" w:name="OLE_LINK7"/>
            <w:r>
              <w:rPr>
                <w:rFonts w:hint="eastAsia"/>
                <w:sz w:val="21"/>
                <w:szCs w:val="21"/>
                <w:lang w:val="en-US" w:bidi="ar-SA"/>
              </w:rPr>
              <w:t xml:space="preserve">评委根据投标人提供的项目拆梯方案综合评分</w:t>
            </w:r>
            <w:bookmarkEnd w:id="203"/>
            <w:r>
              <w:rPr>
                <w:rFonts w:hint="eastAsia"/>
                <w:sz w:val="21"/>
                <w:szCs w:val="21"/>
                <w:lang w:val="en-US" w:bidi="ar-SA"/>
              </w:rPr>
              <w:t xml:space="preserve">，包含：</w:t>
            </w:r>
            <w:r>
              <w:rPr>
                <w:rFonts w:hint="eastAsia"/>
                <w:sz w:val="21"/>
                <w:szCs w:val="21"/>
                <w:lang w:val="en-US" w:bidi="ar-SA"/>
              </w:rPr>
              <w:t xml:space="preserve">1.施工前的准备工作；2.电梯拆除程序；3.拆梯安全技术措施。</w:t>
            </w:r>
            <w:r>
              <w:rPr>
                <w:rFonts w:hint="eastAsia"/>
                <w:sz w:val="21"/>
                <w:szCs w:val="21"/>
                <w:lang w:val="en-US" w:bidi="ar-SA"/>
              </w:rPr>
            </w:r>
            <w:r/>
          </w:p>
          <w:p>
            <w:pPr>
              <w:pStyle w:val="982"/>
              <w:spacing w:line="264" w:lineRule="auto"/>
              <w:rPr>
                <w:rFonts w:hint="eastAsia"/>
                <w:sz w:val="21"/>
                <w:szCs w:val="21"/>
                <w:lang w:val="en-US" w:bidi="ar-SA"/>
              </w:rPr>
            </w:pPr>
            <w:r>
              <w:rPr>
                <w:rFonts w:hint="eastAsia"/>
                <w:sz w:val="21"/>
                <w:szCs w:val="21"/>
                <w:lang w:val="en-US" w:bidi="ar-SA"/>
              </w:rPr>
              <w:t xml:space="preserve">（1）上述每项内容完整，科学合理、操作性强的，得2分； </w:t>
            </w:r>
            <w:r/>
          </w:p>
          <w:p>
            <w:pPr>
              <w:pStyle w:val="982"/>
              <w:spacing w:line="264" w:lineRule="auto"/>
              <w:rPr>
                <w:rFonts w:hint="eastAsia"/>
                <w:sz w:val="21"/>
                <w:szCs w:val="21"/>
                <w:lang w:val="en-US" w:bidi="ar-SA"/>
              </w:rPr>
            </w:pPr>
            <w:r>
              <w:rPr>
                <w:rFonts w:hint="eastAsia"/>
                <w:sz w:val="21"/>
                <w:szCs w:val="21"/>
                <w:lang w:val="en-US" w:bidi="ar-SA"/>
              </w:rPr>
              <w:t xml:space="preserve">（2）上述每项内容较完整，较科学合理，有可操作性的，得1分； </w:t>
            </w:r>
            <w:r/>
          </w:p>
          <w:p>
            <w:pPr>
              <w:pStyle w:val="860"/>
              <w:spacing w:line="264" w:lineRule="auto"/>
              <w:rPr>
                <w:rFonts w:hint="eastAsia" w:ascii="宋体" w:hAnsi="宋体" w:cs="宋体"/>
                <w:szCs w:val="21"/>
              </w:rPr>
            </w:pPr>
            <w:r>
              <w:rPr>
                <w:rFonts w:hint="eastAsia" w:ascii="宋体" w:hAnsi="宋体" w:cs="宋体"/>
                <w:szCs w:val="21"/>
              </w:rPr>
              <w:t xml:space="preserve">（3）上述每项内容不科学合理、无操作性或未提供的不得分。</w:t>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900"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主观分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2.12</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pacing w:val="-2"/>
                <w:szCs w:val="21"/>
              </w:rPr>
            </w:pPr>
            <w:r>
              <w:rPr>
                <w:rFonts w:hint="eastAsia" w:ascii="宋体" w:hAnsi="宋体" w:cs="宋体"/>
                <w:szCs w:val="21"/>
              </w:rPr>
              <w:t xml:space="preserve">施工方案</w:t>
            </w:r>
            <w:r>
              <w:rPr>
                <w:rFonts w:hint="eastAsia" w:ascii="宋体" w:hAnsi="宋体" w:cs="宋体"/>
                <w:spacing w:val="-2"/>
                <w:szCs w:val="21"/>
              </w:rPr>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hint="eastAsia" w:ascii="宋体" w:hAnsi="宋体" w:cs="宋体"/>
                <w:szCs w:val="21"/>
              </w:rPr>
            </w:pPr>
            <w:r>
              <w:rPr>
                <w:rFonts w:hint="eastAsia" w:ascii="宋体" w:hAnsi="宋体" w:cs="宋体"/>
                <w:szCs w:val="21"/>
              </w:rPr>
              <w:t xml:space="preserve">评委根据投标人提供的项目</w:t>
            </w:r>
            <w:r>
              <w:rPr>
                <w:rFonts w:hint="eastAsia"/>
                <w:szCs w:val="21"/>
              </w:rPr>
              <w:t xml:space="preserve">拆梯方案</w:t>
            </w:r>
            <w:r>
              <w:rPr>
                <w:rFonts w:hint="eastAsia" w:ascii="宋体" w:hAnsi="宋体" w:cs="宋体"/>
                <w:szCs w:val="21"/>
              </w:rPr>
              <w:t xml:space="preserve">综合评分，包含：1.施工进度计划；2.质量保证措施；3.文明施工措施；4.环境保护措施；5.人员配备；6.材料、机械设备计划。</w:t>
            </w:r>
            <w:r/>
          </w:p>
          <w:p>
            <w:pPr>
              <w:pStyle w:val="982"/>
              <w:spacing w:line="264" w:lineRule="auto"/>
              <w:rPr>
                <w:rFonts w:hint="eastAsia"/>
                <w:sz w:val="21"/>
                <w:szCs w:val="21"/>
                <w:lang w:val="en-US" w:bidi="ar-SA"/>
              </w:rPr>
            </w:pPr>
            <w:r>
              <w:rPr>
                <w:rFonts w:hint="eastAsia"/>
                <w:sz w:val="21"/>
                <w:szCs w:val="21"/>
                <w:lang w:val="en-US" w:bidi="ar-SA"/>
              </w:rPr>
              <w:t xml:space="preserve">（1）上述每项内容完整，科学合理、操作性强的，得1分； </w:t>
            </w:r>
            <w:r/>
          </w:p>
          <w:p>
            <w:pPr>
              <w:pStyle w:val="982"/>
              <w:spacing w:line="264" w:lineRule="auto"/>
              <w:rPr>
                <w:rFonts w:hint="eastAsia"/>
                <w:sz w:val="21"/>
                <w:szCs w:val="21"/>
                <w:lang w:val="en-US" w:bidi="ar-SA"/>
              </w:rPr>
            </w:pPr>
            <w:r>
              <w:rPr>
                <w:rFonts w:hint="eastAsia"/>
                <w:sz w:val="21"/>
                <w:szCs w:val="21"/>
                <w:lang w:val="en-US" w:bidi="ar-SA"/>
              </w:rPr>
              <w:t xml:space="preserve">（2）上述每项内容较完整，较科学合理，有可操作性的，得0.5分； </w:t>
            </w:r>
            <w:r/>
          </w:p>
          <w:p>
            <w:pPr>
              <w:pStyle w:val="860"/>
              <w:jc w:val="left"/>
              <w:spacing w:line="264" w:lineRule="auto"/>
              <w:rPr>
                <w:rFonts w:hint="eastAsia" w:ascii="宋体" w:hAnsi="宋体" w:cs="宋体"/>
                <w:szCs w:val="21"/>
              </w:rPr>
            </w:pPr>
            <w:r>
              <w:rPr>
                <w:rFonts w:hint="eastAsia" w:ascii="宋体" w:hAnsi="宋体" w:cs="宋体"/>
                <w:szCs w:val="21"/>
              </w:rPr>
              <w:t xml:space="preserve">（3）上述每项内容不科学合理、无操作性或未提供的不得分。</w:t>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trHeight w:val="472"/>
        </w:trPr>
        <w:tc>
          <w:tcPr>
            <w:gridSpan w:val="5"/>
            <w:tcBorders>
              <w:top w:val="single" w:color="000000" w:sz="2" w:space="0"/>
              <w:bottom w:val="single" w:color="000000" w:sz="2" w:space="0"/>
            </w:tcBorders>
            <w:tcW w:w="9575" w:type="dxa"/>
            <w:vAlign w:val="center"/>
            <w:textDirection w:val="lrTb"/>
            <w:noWrap w:val="false"/>
          </w:tcPr>
          <w:p>
            <w:pPr>
              <w:pStyle w:val="860"/>
              <w:spacing w:before="68" w:line="264" w:lineRule="auto"/>
              <w:rPr>
                <w:rFonts w:hint="eastAsia" w:ascii="宋体" w:hAnsi="宋体" w:cs="宋体"/>
                <w:szCs w:val="21"/>
              </w:rPr>
            </w:pPr>
            <w:r>
              <w:rPr>
                <w:rFonts w:hint="eastAsia" w:ascii="宋体" w:hAnsi="宋体" w:cs="宋体"/>
                <w:b/>
                <w:bCs/>
                <w:spacing w:val="-3"/>
                <w:szCs w:val="21"/>
              </w:rPr>
              <w:t xml:space="preserve">3.服务</w:t>
            </w:r>
            <w:r>
              <w:rPr>
                <w:rFonts w:hint="eastAsia" w:ascii="宋体" w:hAnsi="宋体" w:cs="宋体"/>
                <w:szCs w:val="21"/>
              </w:rPr>
            </w:r>
            <w:r/>
          </w:p>
        </w:tc>
      </w:tr>
      <w:tr>
        <w:trPr>
          <w:trHeight w:val="133"/>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3.2</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zCs w:val="21"/>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982"/>
              <w:spacing w:line="264" w:lineRule="auto"/>
              <w:rPr>
                <w:rFonts w:hint="eastAsia"/>
                <w:sz w:val="21"/>
                <w:szCs w:val="21"/>
                <w:lang w:val="en-US" w:bidi="ar-SA"/>
              </w:rPr>
            </w:pPr>
            <w:r>
              <w:rPr>
                <w:rFonts w:hint="eastAsia"/>
                <w:sz w:val="21"/>
                <w:szCs w:val="21"/>
                <w:lang w:val="en-US" w:bidi="ar-SA"/>
              </w:rPr>
              <w:t xml:space="preserve">评委根据投标人提供的项目售后服务方案综合评分，包含：</w:t>
            </w:r>
            <w:r>
              <w:rPr>
                <w:rFonts w:hint="eastAsia"/>
                <w:sz w:val="21"/>
                <w:szCs w:val="21"/>
                <w:lang w:val="en-US" w:bidi="ar-SA"/>
              </w:rPr>
              <w:t xml:space="preserve">1.售后服务内容；2.故障解决方案；3.售后服务体系；4.技术人员配备；5.备品配件价格。</w:t>
            </w:r>
            <w:r>
              <w:rPr>
                <w:rFonts w:hint="eastAsia"/>
                <w:sz w:val="21"/>
                <w:szCs w:val="21"/>
                <w:lang w:val="en-US" w:bidi="ar-SA"/>
              </w:rPr>
              <w:t xml:space="preserve">以上每项内容逐条阐述。</w:t>
            </w:r>
            <w:r/>
          </w:p>
          <w:p>
            <w:pPr>
              <w:pStyle w:val="982"/>
              <w:spacing w:line="264" w:lineRule="auto"/>
              <w:rPr>
                <w:rFonts w:hint="eastAsia"/>
                <w:sz w:val="21"/>
                <w:szCs w:val="21"/>
                <w:lang w:val="en-US" w:bidi="ar-SA"/>
              </w:rPr>
            </w:pPr>
            <w:r>
              <w:rPr>
                <w:rFonts w:hint="eastAsia"/>
                <w:sz w:val="21"/>
                <w:szCs w:val="21"/>
                <w:lang w:val="en-US" w:bidi="ar-SA"/>
              </w:rPr>
              <w:t xml:space="preserve">（1）上述每项内容完整，科学合理、操作性强的，得1分； </w:t>
            </w:r>
            <w:r/>
          </w:p>
          <w:p>
            <w:pPr>
              <w:pStyle w:val="982"/>
              <w:spacing w:line="264" w:lineRule="auto"/>
              <w:rPr>
                <w:rFonts w:hint="eastAsia"/>
                <w:sz w:val="21"/>
                <w:szCs w:val="21"/>
                <w:lang w:val="en-US" w:bidi="ar-SA"/>
              </w:rPr>
            </w:pPr>
            <w:r>
              <w:rPr>
                <w:rFonts w:hint="eastAsia"/>
                <w:sz w:val="21"/>
                <w:szCs w:val="21"/>
                <w:lang w:val="en-US" w:bidi="ar-SA"/>
              </w:rPr>
              <w:t xml:space="preserve">（2）上述每项内容较完整，较科学合理，有可操作性的，得0.5分； </w:t>
            </w:r>
            <w:r/>
          </w:p>
          <w:p>
            <w:pPr>
              <w:pStyle w:val="982"/>
              <w:spacing w:line="264" w:lineRule="auto"/>
              <w:rPr>
                <w:rFonts w:hint="eastAsia"/>
                <w:sz w:val="21"/>
                <w:szCs w:val="21"/>
                <w:lang w:val="en-US" w:bidi="ar-SA"/>
              </w:rPr>
            </w:pPr>
            <w:r>
              <w:rPr>
                <w:rFonts w:hint="eastAsia"/>
                <w:sz w:val="21"/>
                <w:szCs w:val="21"/>
                <w:lang w:val="en-US" w:bidi="ar-SA"/>
              </w:rPr>
              <w:t xml:space="preserve">（3）上述每项内容不科学合理、无操作性或未提供的不得分。</w:t>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860"/>
              <w:spacing w:line="264" w:lineRule="auto"/>
              <w:rPr>
                <w:rFonts w:hint="eastAsia" w:ascii="宋体" w:hAnsi="宋体" w:cs="宋体"/>
                <w:szCs w:val="21"/>
              </w:rPr>
            </w:pPr>
            <w:r>
              <w:rPr>
                <w:rFonts w:hint="eastAsia" w:ascii="宋体" w:hAnsi="宋体" w:cs="宋体"/>
                <w:b/>
                <w:bCs/>
                <w:spacing w:val="-3"/>
                <w:szCs w:val="21"/>
              </w:rPr>
              <w:t xml:space="preserve">4.业绩</w:t>
            </w:r>
            <w:r>
              <w:rPr>
                <w:rFonts w:hint="eastAsia" w:ascii="宋体" w:hAnsi="宋体" w:cs="宋体"/>
                <w:szCs w:val="21"/>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szCs w:val="21"/>
              </w:rPr>
            </w:pPr>
            <w:r>
              <w:rPr>
                <w:rFonts w:hint="eastAsia" w:ascii="宋体" w:hAnsi="宋体" w:cs="宋体"/>
                <w:spacing w:val="-1"/>
                <w:szCs w:val="21"/>
              </w:rPr>
              <w:t xml:space="preserve">产品业绩</w:t>
            </w:r>
            <w:r>
              <w:rPr>
                <w:rFonts w:hint="eastAsia"/>
                <w:szCs w:val="21"/>
              </w:rPr>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ascii="宋体" w:hAnsi="宋体" w:cs="宋体"/>
                <w:szCs w:val="21"/>
                <w:lang w:bidi="zh-CN"/>
              </w:rPr>
            </w:pPr>
            <w:r>
              <w:rPr>
                <w:rFonts w:hint="eastAsia" w:ascii="宋体" w:hAnsi="宋体" w:cs="宋体"/>
                <w:szCs w:val="21"/>
              </w:rPr>
              <w:t xml:space="preserve">投标人或所投产品制造商提供</w:t>
            </w:r>
            <w:r>
              <w:rPr>
                <w:rFonts w:hint="eastAsia" w:ascii="宋体" w:hAnsi="宋体" w:cs="宋体"/>
                <w:szCs w:val="21"/>
              </w:rPr>
              <w:t xml:space="preserve">2022年1月1日</w:t>
            </w:r>
            <w:r>
              <w:rPr>
                <w:rFonts w:hint="eastAsia" w:ascii="宋体" w:hAnsi="宋体" w:cs="宋体"/>
                <w:szCs w:val="21"/>
              </w:rPr>
              <w:t xml:space="preserve">（含）以来</w:t>
            </w:r>
            <w:r>
              <w:rPr>
                <w:rFonts w:hint="eastAsia" w:ascii="宋体" w:hAnsi="宋体" w:cs="宋体"/>
                <w:szCs w:val="21"/>
              </w:rPr>
              <w:t xml:space="preserve">所投</w:t>
            </w:r>
            <w:r>
              <w:rPr>
                <w:rFonts w:hint="eastAsia" w:ascii="宋体" w:hAnsi="宋体" w:cs="宋体"/>
                <w:szCs w:val="21"/>
              </w:rPr>
              <w:t xml:space="preserve">产品</w:t>
            </w:r>
            <w:r>
              <w:rPr>
                <w:rFonts w:hint="eastAsia" w:ascii="宋体" w:hAnsi="宋体" w:cs="宋体"/>
                <w:szCs w:val="21"/>
              </w:rPr>
              <w:t xml:space="preserve">的</w:t>
            </w:r>
            <w:r>
              <w:rPr>
                <w:rFonts w:hint="eastAsia" w:ascii="宋体" w:hAnsi="宋体" w:cs="宋体"/>
                <w:szCs w:val="21"/>
              </w:rPr>
              <w:t xml:space="preserve">业绩</w:t>
            </w:r>
            <w:r>
              <w:rPr>
                <w:rFonts w:hint="eastAsia" w:ascii="宋体" w:hAnsi="宋体" w:cs="宋体"/>
                <w:szCs w:val="21"/>
              </w:rPr>
              <w:t xml:space="preserve">，每提供1个得2分，最多得6分。（时间以合同签订时间为准，提供有效合同，合同页须清晰可见相应内容）</w:t>
            </w:r>
            <w:r>
              <w:rPr>
                <w:rFonts w:ascii="宋体" w:hAnsi="宋体" w:cs="宋体"/>
                <w:szCs w:val="21"/>
                <w:lang w:bidi="zh-CN"/>
              </w:rPr>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269"/>
        </w:trPr>
        <w:tc>
          <w:tcPr>
            <w:gridSpan w:val="5"/>
            <w:tcBorders>
              <w:top w:val="single" w:color="000000" w:sz="2" w:space="0"/>
              <w:bottom w:val="single" w:color="000000" w:sz="2" w:space="0"/>
            </w:tcBorders>
            <w:tcW w:w="9575" w:type="dxa"/>
            <w:vAlign w:val="top"/>
            <w:textDirection w:val="lrTb"/>
            <w:noWrap w:val="false"/>
          </w:tcPr>
          <w:p>
            <w:pPr>
              <w:pStyle w:val="860"/>
              <w:spacing w:before="123" w:line="264" w:lineRule="auto"/>
              <w:rPr>
                <w:rFonts w:hint="eastAsia" w:ascii="宋体" w:hAnsi="宋体" w:cs="宋体"/>
                <w:szCs w:val="21"/>
              </w:rPr>
            </w:pPr>
            <w:r>
              <w:rPr>
                <w:rFonts w:hint="eastAsia" w:ascii="宋体" w:hAnsi="宋体" w:cs="宋体"/>
                <w:b/>
                <w:bCs/>
                <w:spacing w:val="-3"/>
                <w:szCs w:val="21"/>
              </w:rPr>
              <w:t xml:space="preserve">5.履约能力</w:t>
            </w:r>
            <w:r>
              <w:rPr>
                <w:rFonts w:hint="eastAsia" w:ascii="宋体" w:hAnsi="宋体" w:cs="宋体"/>
                <w:szCs w:val="21"/>
              </w:rPr>
            </w:r>
            <w:r/>
          </w:p>
        </w:tc>
      </w:tr>
      <w:tr>
        <w:trPr>
          <w:trHeight w:val="383"/>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5.1</w:t>
            </w:r>
            <w:r/>
          </w:p>
        </w:tc>
        <w:tc>
          <w:tcPr>
            <w:tcBorders>
              <w:top w:val="single" w:color="000000" w:sz="2" w:space="0"/>
              <w:bottom w:val="single" w:color="000000" w:sz="2" w:space="0"/>
            </w:tcBorders>
            <w:tcW w:w="117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履约能力1</w:t>
            </w:r>
            <w:r>
              <w:rPr>
                <w:rFonts w:hint="eastAsia" w:ascii="宋体" w:hAnsi="宋体" w:cs="宋体"/>
                <w:spacing w:val="-2"/>
                <w:szCs w:val="21"/>
              </w:rPr>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hint="eastAsia" w:ascii="宋体" w:hAnsi="宋体" w:cs="宋体"/>
                <w:szCs w:val="21"/>
              </w:rPr>
            </w:pPr>
            <w:r>
              <w:rPr>
                <w:rFonts w:hint="eastAsia" w:ascii="宋体" w:hAnsi="宋体" w:cs="宋体"/>
                <w:szCs w:val="21"/>
              </w:rPr>
              <w:t xml:space="preserve">供应商提供整梯质保的承诺函（质保期包含：电梯维修保养及配件更换，电梯年度报检、检测费、保险等相关费用），明确质保期限，满足质保期五年的基础上，每增加一年得1分，最多得5分。（提供整梯质保承诺函，格式自拟）</w:t>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p>
        </w:tc>
      </w:tr>
      <w:tr>
        <w:trPr>
          <w:trHeight w:val="464"/>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rPr>
                <w:rFonts w:hint="eastAsia" w:ascii="宋体" w:hAnsi="宋体" w:cs="宋体"/>
                <w:szCs w:val="21"/>
              </w:rPr>
            </w:r>
            <w:r/>
          </w:p>
        </w:tc>
        <w:tc>
          <w:tcPr>
            <w:gridSpan w:val="2"/>
            <w:tcBorders>
              <w:top w:val="single" w:color="000000" w:sz="2" w:space="0"/>
              <w:bottom w:val="single" w:color="000000" w:sz="2" w:space="0"/>
            </w:tcBorders>
            <w:tcW w:w="7509" w:type="dxa"/>
            <w:vAlign w:val="center"/>
            <w:textDirection w:val="lrTb"/>
            <w:noWrap w:val="false"/>
          </w:tcPr>
          <w:p>
            <w:pPr>
              <w:pStyle w:val="860"/>
              <w:ind w:left="172"/>
              <w:jc w:val="center"/>
              <w:spacing w:before="123" w:line="264" w:lineRule="auto"/>
              <w:rPr>
                <w:rFonts w:hint="eastAsia" w:ascii="宋体" w:hAnsi="宋体" w:cs="宋体"/>
                <w:spacing w:val="-2"/>
                <w:szCs w:val="21"/>
              </w:rPr>
            </w:pPr>
            <w:r>
              <w:rPr>
                <w:rFonts w:hint="eastAsia" w:ascii="宋体" w:hAnsi="宋体" w:cs="宋体"/>
                <w:spacing w:val="-2"/>
                <w:szCs w:val="21"/>
              </w:rPr>
            </w:r>
            <w:r/>
          </w:p>
        </w:tc>
        <w:tc>
          <w:tcPr>
            <w:gridSpan w:val="2"/>
            <w:tcBorders>
              <w:top w:val="single" w:color="000000" w:sz="2" w:space="0"/>
              <w:bottom w:val="single" w:color="000000" w:sz="2" w:space="0"/>
            </w:tcBorders>
            <w:tcW w:w="15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pacing w:val="-11"/>
                <w:szCs w:val="21"/>
              </w:rPr>
              <w:t xml:space="preserve">100分</w:t>
            </w:r>
            <w:r>
              <w:rPr>
                <w:rFonts w:hint="eastAsia" w:ascii="宋体" w:hAnsi="宋体" w:cs="宋体"/>
                <w:szCs w:val="21"/>
              </w:rPr>
            </w:r>
            <w:r/>
          </w:p>
        </w:tc>
      </w:tr>
    </w:tbl>
    <w:p>
      <w:pPr>
        <w:pStyle w:val="860"/>
        <w:spacing w:line="264" w:lineRule="auto"/>
        <w:rPr>
          <w:rFonts w:hint="eastAsia" w:ascii="宋体" w:hAnsi="宋体" w:cs="宋体"/>
          <w:b/>
          <w:bCs/>
          <w:sz w:val="24"/>
          <w:szCs w:val="24"/>
          <w:highlight w:val="yellow"/>
        </w:rPr>
      </w:pPr>
      <w:r>
        <w:rPr>
          <w:rFonts w:hint="eastAsia" w:ascii="宋体" w:hAnsi="宋体" w:cs="宋体"/>
          <w:b/>
          <w:bCs/>
          <w:sz w:val="24"/>
          <w:szCs w:val="24"/>
          <w:highlight w:val="yellow"/>
        </w:rPr>
      </w:r>
      <w:r/>
    </w:p>
    <w:p>
      <w:pPr>
        <w:pStyle w:val="860"/>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t xml:space="preserve">第六章  投标</w:t>
      </w:r>
      <w:bookmarkEnd w:id="195"/>
      <w:r/>
      <w:bookmarkEnd w:id="196"/>
      <w:r/>
      <w:bookmarkEnd w:id="200"/>
      <w:r>
        <w:rPr>
          <w:rFonts w:hint="eastAsia" w:ascii="方正小标宋简体" w:hAnsi="方正小标宋简体" w:eastAsia="方正小标宋简体" w:cs="方正小标宋简体"/>
          <w:sz w:val="36"/>
          <w:szCs w:val="36"/>
        </w:rPr>
        <w:t xml:space="preserve">文件格式 </w:t>
      </w:r>
      <w:r/>
    </w:p>
    <w:p>
      <w:pPr>
        <w:pStyle w:val="860"/>
        <w:jc w:val="center"/>
        <w:rPr>
          <w:rFonts w:hint="eastAsia" w:ascii="宋体" w:hAnsi="宋体"/>
          <w:b/>
          <w:sz w:val="72"/>
          <w:szCs w:val="21"/>
        </w:rPr>
      </w:pPr>
      <w:r/>
      <w:bookmarkStart w:id="204" w:name="_Hlt26671244"/>
      <w:r/>
      <w:bookmarkEnd w:id="204"/>
      <w:r/>
      <w:bookmarkStart w:id="205" w:name="_Hlt26955039"/>
      <w:r/>
      <w:bookmarkEnd w:id="205"/>
      <w:r/>
      <w:bookmarkStart w:id="206" w:name="_Toc26554094"/>
      <w:r/>
      <w:bookmarkStart w:id="207" w:name="_Toc120614282"/>
      <w:r/>
      <w:bookmarkStart w:id="208" w:name="_Toc49090576"/>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t xml:space="preserve">投  标  文  件</w:t>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60"/>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60"/>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rPr>
          <w:rFonts w:ascii="宋体" w:hAnsi="宋体"/>
          <w:b/>
          <w:sz w:val="36"/>
          <w:szCs w:val="21"/>
          <w:u w:val="single"/>
        </w:rPr>
      </w:r>
      <w:r/>
    </w:p>
    <w:p>
      <w:pPr>
        <w:pStyle w:val="860"/>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60"/>
        <w:jc w:val="center"/>
        <w:spacing w:line="440" w:lineRule="exact"/>
        <w:rPr>
          <w:rFonts w:hint="eastAsia" w:ascii="宋体" w:hAnsi="宋体"/>
          <w:b/>
          <w:bCs/>
          <w:sz w:val="32"/>
          <w:szCs w:val="32"/>
        </w:rPr>
      </w:pPr>
      <w:r>
        <w:rPr>
          <w:rFonts w:hint="eastAsia" w:ascii="宋体" w:hAnsi="宋体"/>
          <w:b/>
          <w:bCs/>
          <w:sz w:val="32"/>
          <w:szCs w:val="32"/>
        </w:rPr>
      </w:r>
      <w:r/>
    </w:p>
    <w:p>
      <w:pPr>
        <w:pStyle w:val="860"/>
        <w:spacing w:line="440" w:lineRule="exact"/>
        <w:rPr>
          <w:rFonts w:ascii="宋体" w:hAnsi="宋体"/>
          <w:szCs w:val="21"/>
        </w:rPr>
      </w:pPr>
      <w:r>
        <w:rPr>
          <w:rFonts w:ascii="宋体" w:hAnsi="宋体"/>
          <w:szCs w:val="21"/>
        </w:rPr>
      </w:r>
      <w:r/>
    </w:p>
    <w:p>
      <w:pPr>
        <w:pStyle w:val="860"/>
        <w:jc w:val="center"/>
        <w:rPr>
          <w:rFonts w:hint="eastAsia" w:ascii="方正黑体_GBK" w:hAnsi="方正黑体_GBK" w:eastAsia="方正黑体_GBK" w:cs="方正黑体_GBK"/>
          <w:sz w:val="32"/>
          <w:szCs w:val="32"/>
        </w:rPr>
      </w:pPr>
      <w:r>
        <w:rPr>
          <w:rFonts w:ascii="宋体" w:hAnsi="宋体"/>
          <w:b/>
          <w:sz w:val="36"/>
          <w:szCs w:val="21"/>
          <w:u w:val="single"/>
        </w:rPr>
        <w:br w:type="page" w:clear="all"/>
      </w:r>
      <w:bookmarkEnd w:id="188"/>
      <w:r/>
      <w:bookmarkEnd w:id="193"/>
      <w:r/>
      <w:bookmarkEnd w:id="206"/>
      <w:r/>
      <w:bookmarkEnd w:id="207"/>
      <w:r/>
      <w:bookmarkEnd w:id="208"/>
      <w:r>
        <w:rPr>
          <w:rFonts w:hint="eastAsia" w:ascii="方正黑体_GBK" w:hAnsi="方正黑体_GBK" w:eastAsia="方正黑体_GBK" w:cs="方正黑体_GBK"/>
          <w:sz w:val="32"/>
          <w:szCs w:val="32"/>
        </w:rPr>
        <w:t xml:space="preserve">投标文件目录</w:t>
      </w:r>
      <w:r/>
    </w:p>
    <w:p>
      <w:pPr>
        <w:pStyle w:val="860"/>
        <w:ind w:firstLine="560"/>
        <w:spacing w:line="600" w:lineRule="exact"/>
        <w:rPr>
          <w:rFonts w:hint="eastAsia" w:ascii="宋体" w:hAnsi="宋体" w:cs="宋体"/>
          <w:sz w:val="28"/>
          <w:szCs w:val="28"/>
        </w:rPr>
      </w:pPr>
      <w:r/>
      <w:bookmarkStart w:id="209" w:name="_Toc120614284"/>
      <w:r>
        <w:rPr>
          <w:rFonts w:hint="eastAsia" w:ascii="宋体" w:hAnsi="宋体" w:cs="宋体"/>
          <w:sz w:val="28"/>
          <w:szCs w:val="28"/>
        </w:rPr>
        <w:t xml:space="preserve">一、供应商信用承诺函</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r>
      <w:r/>
    </w:p>
    <w:p>
      <w:pPr>
        <w:pStyle w:val="860"/>
        <w:ind w:firstLine="480"/>
        <w:spacing w:line="440" w:lineRule="exact"/>
        <w:rPr>
          <w:rFonts w:ascii="宋体" w:hAnsi="宋体"/>
          <w:sz w:val="24"/>
        </w:rPr>
      </w:pPr>
      <w:r>
        <w:rPr>
          <w:rFonts w:ascii="宋体" w:hAnsi="宋体"/>
          <w:sz w:val="24"/>
        </w:rPr>
      </w:r>
      <w:r/>
    </w:p>
    <w:p>
      <w:pPr>
        <w:pStyle w:val="860"/>
        <w:ind w:firstLine="480"/>
        <w:spacing w:line="440" w:lineRule="exact"/>
        <w:rPr>
          <w:rFonts w:ascii="宋体" w:hAnsi="宋体"/>
          <w:sz w:val="24"/>
        </w:rPr>
      </w:pPr>
      <w:r>
        <w:rPr>
          <w:rFonts w:ascii="宋体" w:hAnsi="宋体"/>
          <w:sz w:val="24"/>
        </w:rPr>
      </w:r>
      <w:r/>
    </w:p>
    <w:p>
      <w:pPr>
        <w:pStyle w:val="860"/>
        <w:ind w:firstLine="480"/>
        <w:spacing w:line="440" w:lineRule="exact"/>
        <w:rPr>
          <w:rFonts w:ascii="宋体" w:hAnsi="宋体"/>
          <w:sz w:val="24"/>
        </w:rPr>
      </w:pPr>
      <w:r>
        <w:rPr>
          <w:rFonts w:ascii="宋体" w:hAnsi="宋体"/>
          <w:sz w:val="24"/>
        </w:rPr>
      </w:r>
      <w:r/>
    </w:p>
    <w:p>
      <w:pPr>
        <w:pStyle w:val="979"/>
        <w:rPr>
          <w:sz w:val="24"/>
        </w:rPr>
      </w:pPr>
      <w:r>
        <w:rPr>
          <w:sz w:val="24"/>
        </w:rPr>
      </w:r>
      <w:r/>
    </w:p>
    <w:p>
      <w:pPr>
        <w:pStyle w:val="979"/>
        <w:rPr>
          <w:sz w:val="24"/>
        </w:rPr>
      </w:pPr>
      <w:r>
        <w:rPr>
          <w:sz w:val="24"/>
        </w:rPr>
      </w:r>
      <w:r/>
    </w:p>
    <w:p>
      <w:pPr>
        <w:pStyle w:val="979"/>
        <w:rPr>
          <w:sz w:val="24"/>
          <w:szCs w:val="24"/>
        </w:rPr>
      </w:pPr>
      <w:r>
        <w:rPr>
          <w:sz w:val="24"/>
        </w:rPr>
      </w:r>
      <w:r>
        <w:rPr>
          <w:sz w:val="24"/>
        </w:rPr>
      </w:r>
      <w:r/>
    </w:p>
    <w:p>
      <w:pPr>
        <w:pStyle w:val="979"/>
        <w:rPr>
          <w:sz w:val="24"/>
          <w:szCs w:val="24"/>
        </w:rPr>
      </w:pPr>
      <w:r>
        <w:rPr>
          <w:sz w:val="24"/>
          <w:szCs w:val="24"/>
        </w:rPr>
      </w:r>
      <w:r>
        <w:rPr>
          <w:sz w:val="24"/>
          <w:szCs w:val="24"/>
        </w:rPr>
      </w:r>
      <w:r/>
    </w:p>
    <w:p>
      <w:pPr>
        <w:pStyle w:val="979"/>
        <w:rPr>
          <w:sz w:val="24"/>
          <w:szCs w:val="24"/>
        </w:rPr>
      </w:pPr>
      <w:r>
        <w:rPr>
          <w:sz w:val="24"/>
          <w:szCs w:val="24"/>
        </w:rPr>
      </w:r>
      <w:r>
        <w:rPr>
          <w:sz w:val="24"/>
          <w:szCs w:val="24"/>
        </w:rPr>
      </w:r>
      <w:r/>
    </w:p>
    <w:p>
      <w:pPr>
        <w:pStyle w:val="979"/>
        <w:rPr>
          <w:sz w:val="24"/>
          <w:szCs w:val="24"/>
        </w:rPr>
      </w:pPr>
      <w:r>
        <w:rPr>
          <w:sz w:val="24"/>
          <w:szCs w:val="24"/>
        </w:rPr>
      </w:r>
      <w:r>
        <w:rPr>
          <w:sz w:val="24"/>
          <w:szCs w:val="24"/>
        </w:rPr>
      </w:r>
      <w:r/>
    </w:p>
    <w:p>
      <w:pPr>
        <w:pStyle w:val="979"/>
        <w:rPr>
          <w:sz w:val="24"/>
          <w:szCs w:val="24"/>
        </w:rPr>
      </w:pPr>
      <w:r>
        <w:rPr>
          <w:sz w:val="24"/>
          <w:szCs w:val="24"/>
        </w:rPr>
      </w:r>
      <w:r>
        <w:rPr>
          <w:sz w:val="24"/>
          <w:szCs w:val="24"/>
        </w:rPr>
      </w:r>
      <w:r/>
    </w:p>
    <w:p>
      <w:pPr>
        <w:pStyle w:val="979"/>
        <w:rPr>
          <w:sz w:val="24"/>
          <w:szCs w:val="24"/>
        </w:rPr>
      </w:pPr>
      <w:r>
        <w:rPr>
          <w:sz w:val="24"/>
        </w:rPr>
      </w:r>
      <w:r/>
    </w:p>
    <w:p>
      <w:pPr>
        <w:pStyle w:val="979"/>
        <w:rPr>
          <w:sz w:val="24"/>
        </w:rPr>
      </w:pPr>
      <w:r>
        <w:rPr>
          <w:sz w:val="24"/>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pStyle w:val="860"/>
        <w:spacing w:line="460" w:lineRule="exact"/>
        <w:rPr>
          <w:rFonts w:hint="eastAsia" w:ascii="宋体" w:hAnsi="宋体"/>
          <w:sz w:val="24"/>
          <w:szCs w:val="24"/>
        </w:rPr>
      </w:pPr>
      <w:r>
        <w:rPr>
          <w:rFonts w:hint="eastAsia" w:ascii="宋体" w:hAnsi="宋体"/>
          <w:sz w:val="24"/>
          <w:szCs w:val="24"/>
        </w:rPr>
        <w:t xml:space="preserve">南京市公共资源交易中心：</w:t>
      </w:r>
      <w:r/>
    </w:p>
    <w:p>
      <w:pPr>
        <w:pStyle w:val="860"/>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860"/>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860"/>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(五)参</w:t>
      </w:r>
      <w:r>
        <w:rPr>
          <w:rFonts w:hint="eastAsia" w:ascii="宋体" w:hAnsi="宋体"/>
          <w:sz w:val="24"/>
          <w:szCs w:val="24"/>
        </w:rPr>
        <w:t xml:space="preserve">加政府采购活动前三年内，在经营活动中没有重大违法记录。</w:t>
      </w:r>
      <w:r/>
    </w:p>
    <w:p>
      <w:pPr>
        <w:pStyle w:val="860"/>
        <w:ind w:firstLine="492"/>
        <w:spacing w:line="460" w:lineRule="exact"/>
        <w:rPr>
          <w:rFonts w:hint="eastAsia" w:ascii="宋体" w:hAnsi="宋体"/>
          <w:sz w:val="24"/>
          <w:szCs w:val="24"/>
        </w:rPr>
      </w:pPr>
      <w:r>
        <w:rPr>
          <w:rFonts w:hint="eastAsia" w:ascii="宋体" w:hAnsi="宋体"/>
          <w:sz w:val="24"/>
          <w:szCs w:val="24"/>
        </w:rPr>
        <w:t xml:space="preserve">如果我公司中标，将在中标结果公示后七个工作日内向采购人提供下列材料核验：</w:t>
      </w:r>
      <w:r/>
    </w:p>
    <w:p>
      <w:pPr>
        <w:pStyle w:val="860"/>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860"/>
        <w:ind w:firstLine="492"/>
        <w:spacing w:line="460" w:lineRule="exact"/>
        <w:rPr>
          <w:rFonts w:hint="eastAsia"/>
          <w:sz w:val="24"/>
          <w:szCs w:val="24"/>
        </w:rPr>
      </w:pPr>
      <w:r>
        <w:rPr>
          <w:rFonts w:hint="eastAsia"/>
          <w:sz w:val="24"/>
          <w:szCs w:val="24"/>
        </w:rPr>
        <w:t xml:space="preserve">本公司对上述承诺内容的真实性、合法性、有效性负责，如有虚假，将依法承担相应责任。</w:t>
      </w:r>
      <w:r/>
    </w:p>
    <w:p>
      <w:pPr>
        <w:pStyle w:val="860"/>
        <w:ind w:firstLine="492"/>
        <w:spacing w:line="460" w:lineRule="exact"/>
        <w:rPr>
          <w:sz w:val="24"/>
          <w:szCs w:val="24"/>
        </w:rPr>
      </w:pPr>
      <w:r>
        <w:rPr>
          <w:sz w:val="24"/>
          <w:szCs w:val="24"/>
        </w:rPr>
      </w:r>
      <w:r/>
    </w:p>
    <w:p>
      <w:pPr>
        <w:pStyle w:val="980"/>
        <w:rPr>
          <w:sz w:val="24"/>
          <w:szCs w:val="24"/>
        </w:rPr>
      </w:pPr>
      <w:r>
        <w:rPr>
          <w:sz w:val="24"/>
          <w:szCs w:val="24"/>
        </w:rPr>
      </w:r>
      <w:r/>
    </w:p>
    <w:p>
      <w:pPr>
        <w:pStyle w:val="860"/>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0"/>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rPr>
          <w:sz w:val="24"/>
          <w:szCs w:val="24"/>
        </w:rPr>
      </w:pPr>
      <w:r>
        <w:rPr>
          <w:sz w:val="24"/>
          <w:szCs w:val="24"/>
        </w:rPr>
      </w:r>
      <w:r/>
    </w:p>
    <w:p>
      <w:pPr>
        <w:pStyle w:val="860"/>
        <w:spacing w:line="440" w:lineRule="exact"/>
        <w:rPr>
          <w:rFonts w:hint="eastAsia" w:ascii="宋体" w:hAnsi="宋体"/>
          <w:sz w:val="24"/>
          <w:szCs w:val="24"/>
        </w:rPr>
      </w:pPr>
      <w:r>
        <w:rPr>
          <w:rFonts w:hint="eastAsia" w:ascii="宋体" w:hAnsi="宋体"/>
          <w:sz w:val="24"/>
          <w:szCs w:val="24"/>
        </w:rPr>
      </w:r>
      <w:r/>
    </w:p>
    <w:p>
      <w:pPr>
        <w:pStyle w:val="860"/>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60"/>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50"/>
        <w:ind w:firstLine="480"/>
        <w:rPr>
          <w:rFonts w:hint="eastAsia"/>
          <w:sz w:val="24"/>
          <w:szCs w:val="24"/>
        </w:rPr>
      </w:pPr>
      <w:r>
        <w:rPr>
          <w:rFonts w:hint="eastAsia"/>
          <w:sz w:val="24"/>
          <w:szCs w:val="24"/>
        </w:rPr>
        <w:t xml:space="preserve">本项目申请人的特定资格要求中要求提供的材料。</w:t>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981"/>
        <w:rPr>
          <w:rFonts w:hint="eastAsia"/>
          <w:lang w:eastAsia="zh-CN"/>
        </w:rPr>
      </w:pPr>
      <w:r>
        <w:rPr>
          <w:rFonts w:hint="eastAsia"/>
          <w:lang w:eastAsia="zh-CN"/>
        </w:rPr>
      </w:r>
      <w:r/>
    </w:p>
    <w:p>
      <w:pPr>
        <w:pStyle w:val="860"/>
        <w:rPr>
          <w:rFonts w:hint="eastAsia"/>
        </w:rPr>
      </w:pPr>
      <w:r>
        <w:rPr>
          <w:rFonts w:hint="eastAsia"/>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pStyle w:val="860"/>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950"/>
        <w:ind w:firstLine="480"/>
        <w:spacing w:line="420" w:lineRule="exact"/>
        <w:rPr>
          <w:rFonts w:hint="eastAsia"/>
          <w:sz w:val="24"/>
          <w:szCs w:val="24"/>
        </w:rPr>
      </w:pPr>
      <w:r>
        <w:rPr>
          <w:rFonts w:hint="eastAsia"/>
          <w:sz w:val="24"/>
          <w:szCs w:val="24"/>
        </w:rPr>
      </w:r>
      <w:r/>
    </w:p>
    <w:p>
      <w:pPr>
        <w:pStyle w:val="950"/>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50"/>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950"/>
        <w:ind w:firstLine="480"/>
        <w:spacing w:line="480" w:lineRule="exact"/>
        <w:rPr>
          <w:rFonts w:hint="eastAsia"/>
          <w:sz w:val="24"/>
          <w:szCs w:val="24"/>
        </w:rPr>
      </w:pPr>
      <w:r>
        <w:rPr>
          <w:rFonts w:hint="eastAsia"/>
          <w:sz w:val="24"/>
          <w:szCs w:val="24"/>
        </w:rPr>
        <w:t xml:space="preserve">被授权人身份证号码：</w:t>
      </w:r>
      <w:r/>
    </w:p>
    <w:p>
      <w:pPr>
        <w:pStyle w:val="950"/>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50"/>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50"/>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950"/>
        <w:ind w:firstLine="480"/>
        <w:spacing w:line="480" w:lineRule="exact"/>
        <w:rPr>
          <w:rFonts w:hint="eastAsia"/>
          <w:sz w:val="24"/>
          <w:szCs w:val="24"/>
        </w:rPr>
      </w:pPr>
      <w:r>
        <w:rPr>
          <w:rFonts w:hint="eastAsia"/>
          <w:sz w:val="24"/>
          <w:szCs w:val="24"/>
        </w:rPr>
        <w:t xml:space="preserve">日    期：</w:t>
      </w:r>
      <w:bookmarkStart w:id="210" w:name="_格式3__银行出具的资信证明"/>
      <w:r/>
      <w:bookmarkEnd w:id="210"/>
      <w:r/>
      <w:bookmarkStart w:id="211" w:name="_Hlt26955070"/>
      <w:r/>
      <w:bookmarkEnd w:id="211"/>
      <w:r/>
      <w:bookmarkStart w:id="212" w:name="_Hlt26671380"/>
      <w:r/>
      <w:bookmarkEnd w:id="212"/>
      <w:r>
        <w:rPr>
          <w:rFonts w:hint="eastAsia"/>
          <w:sz w:val="24"/>
          <w:szCs w:val="24"/>
        </w:rPr>
      </w:r>
      <w:r/>
    </w:p>
    <w:p>
      <w:pPr>
        <w:pStyle w:val="877"/>
        <w:rPr>
          <w:rFonts w:hint="eastAsia"/>
          <w:i/>
          <w:sz w:val="24"/>
          <w:szCs w:val="24"/>
          <w:u w:val="single"/>
        </w:rPr>
      </w:pPr>
      <w:r>
        <w:rPr>
          <w:rFonts w:hint="eastAsia"/>
          <w:i/>
          <w:sz w:val="24"/>
          <w:szCs w:val="24"/>
          <w:u w:val="single"/>
        </w:rPr>
      </w:r>
      <w:r/>
    </w:p>
    <w:p>
      <w:pPr>
        <w:pStyle w:val="877"/>
        <w:ind w:firstLine="0"/>
        <w:rPr>
          <w:rFonts w:hint="eastAsia"/>
        </w:rPr>
      </w:pPr>
      <w:r>
        <w:rPr>
          <w:rFonts w:hint="eastAsia"/>
        </w:rPr>
      </w:r>
      <w:r/>
    </w:p>
    <w:p>
      <w:pPr>
        <w:spacing w:line="460" w:lineRule="exact"/>
        <w:rPr>
          <w:rFonts w:hint="eastAsia" w:ascii="楷体" w:hAnsi="楷体" w:eastAsia="楷体"/>
          <w:sz w:val="24"/>
          <w:szCs w:val="24"/>
        </w:rPr>
      </w:pPr>
      <w:r>
        <w:rPr>
          <w:rFonts w:hint="eastAsia" w:ascii="楷体" w:hAnsi="楷体" w:eastAsia="楷体"/>
          <w:bCs/>
          <w:sz w:val="24"/>
          <w:szCs w:val="24"/>
        </w:rPr>
      </w:r>
      <w:r>
        <w:rPr>
          <w:rFonts w:hint="eastAsia" w:ascii="楷体" w:hAnsi="楷体" w:eastAsia="楷体"/>
          <w:bCs/>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pStyle w:val="860"/>
        <w:spacing w:line="460" w:lineRule="exact"/>
        <w:rPr>
          <w:rFonts w:hint="eastAsia" w:ascii="楷体" w:hAnsi="楷体" w:eastAsia="楷体"/>
          <w:sz w:val="24"/>
          <w:szCs w:val="24"/>
        </w:rPr>
      </w:pPr>
      <w:r>
        <w:rPr>
          <w:rFonts w:hint="eastAsia" w:ascii="楷体" w:hAnsi="楷体" w:eastAsia="楷体"/>
          <w:bCs/>
          <w:sz w:val="24"/>
          <w:szCs w:val="24"/>
        </w:rPr>
      </w:r>
      <w:r/>
    </w:p>
    <w:p>
      <w:pPr>
        <w:pStyle w:val="860"/>
        <w:spacing w:line="460" w:lineRule="exact"/>
        <w:rPr>
          <w:rFonts w:hint="eastAsia" w:ascii="宋体" w:hAnsi="宋体"/>
          <w:bCs/>
          <w:sz w:val="24"/>
        </w:rPr>
      </w:pPr>
      <w:r>
        <w:rPr>
          <w:rFonts w:hint="eastAsia" w:ascii="宋体" w:hAnsi="宋体"/>
          <w:bCs/>
          <w:sz w:val="24"/>
        </w:rPr>
      </w:r>
      <w:r/>
    </w:p>
    <w:p>
      <w:pPr>
        <w:pStyle w:val="979"/>
        <w:rPr>
          <w:rFonts w:hint="eastAsia"/>
          <w:bCs/>
          <w:sz w:val="24"/>
        </w:rPr>
      </w:pPr>
      <w:r>
        <w:rPr>
          <w:rFonts w:hint="eastAsia"/>
          <w:bCs/>
          <w:sz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952"/>
        <w:spacing w:before="0" w:after="0" w:line="420" w:lineRule="exact"/>
        <w:rPr>
          <w:rFonts w:hint="eastAsia" w:ascii="宋体" w:hAnsi="宋体"/>
          <w:szCs w:val="21"/>
        </w:rPr>
      </w:pPr>
      <w:r>
        <w:rPr>
          <w:rFonts w:hint="eastAsia" w:ascii="宋体" w:hAnsi="宋体"/>
          <w:szCs w:val="21"/>
        </w:rPr>
        <w:t xml:space="preserve">致：南京市公共资源交易中心</w:t>
      </w:r>
      <w:r/>
    </w:p>
    <w:p>
      <w:pPr>
        <w:pStyle w:val="952"/>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52"/>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95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5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60"/>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52"/>
        <w:spacing w:before="0" w:after="0" w:line="420" w:lineRule="exact"/>
        <w:rPr>
          <w:rFonts w:hint="eastAsia" w:ascii="宋体" w:hAnsi="宋体"/>
          <w:szCs w:val="21"/>
        </w:rPr>
      </w:pPr>
      <w:r>
        <w:rPr>
          <w:rFonts w:hint="eastAsia" w:ascii="宋体" w:hAnsi="宋体"/>
          <w:szCs w:val="21"/>
        </w:rPr>
        <w:t xml:space="preserve">8.我方与本次投标有关</w:t>
      </w:r>
      <w:r>
        <w:rPr>
          <w:rFonts w:hint="eastAsia" w:ascii="宋体" w:hAnsi="宋体"/>
          <w:szCs w:val="21"/>
        </w:rPr>
        <w:t xml:space="preserve">信息</w:t>
      </w:r>
      <w:r/>
    </w:p>
    <w:p>
      <w:pPr>
        <w:pStyle w:val="952"/>
        <w:spacing w:before="0" w:after="0" w:line="420" w:lineRule="exact"/>
        <w:rPr>
          <w:rFonts w:hint="eastAsia" w:ascii="宋体" w:hAnsi="宋体"/>
          <w:szCs w:val="21"/>
        </w:rPr>
      </w:pPr>
      <w:r>
        <w:rPr>
          <w:rFonts w:hint="eastAsia" w:ascii="宋体" w:hAnsi="宋体"/>
          <w:szCs w:val="21"/>
        </w:rPr>
        <w:t xml:space="preserve">地  址：</w:t>
      </w:r>
      <w:r/>
    </w:p>
    <w:p>
      <w:pPr>
        <w:pStyle w:val="952"/>
        <w:spacing w:before="0" w:after="0" w:line="420" w:lineRule="exact"/>
        <w:rPr>
          <w:rFonts w:hint="eastAsia" w:ascii="宋体" w:hAnsi="宋体"/>
          <w:szCs w:val="21"/>
        </w:rPr>
      </w:pPr>
      <w:r>
        <w:rPr>
          <w:rFonts w:hint="eastAsia" w:ascii="宋体" w:hAnsi="宋体"/>
          <w:szCs w:val="21"/>
        </w:rPr>
        <w:t xml:space="preserve">邮  编：</w:t>
      </w:r>
      <w:r/>
    </w:p>
    <w:p>
      <w:pPr>
        <w:pStyle w:val="952"/>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52"/>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52"/>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52"/>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52"/>
        <w:spacing w:before="0" w:after="0" w:line="420" w:lineRule="exact"/>
        <w:rPr>
          <w:rFonts w:hint="eastAsia" w:ascii="宋体" w:hAnsi="宋体"/>
          <w:szCs w:val="21"/>
        </w:rPr>
      </w:pPr>
      <w:r>
        <w:rPr>
          <w:rFonts w:hint="eastAsia" w:ascii="宋体" w:hAnsi="宋体"/>
          <w:szCs w:val="21"/>
        </w:rPr>
        <w:t xml:space="preserve">日  期：</w:t>
      </w:r>
      <w:r/>
    </w:p>
    <w:p>
      <w:pPr>
        <w:pStyle w:val="860"/>
        <w:ind w:firstLine="240"/>
        <w:jc w:val="center"/>
        <w:spacing w:line="560" w:lineRule="exact"/>
        <w:rPr>
          <w:rFonts w:hint="eastAsia" w:ascii="宋体" w:hAnsi="宋体"/>
          <w:bCs/>
          <w:sz w:val="24"/>
        </w:rPr>
      </w:pPr>
      <w:r>
        <w:rPr>
          <w:rFonts w:hint="eastAsia" w:ascii="宋体" w:hAnsi="宋体"/>
          <w:bCs/>
          <w:sz w:val="24"/>
        </w:rPr>
      </w:r>
      <w:r/>
    </w:p>
    <w:p>
      <w:pPr>
        <w:pStyle w:val="860"/>
        <w:ind w:firstLine="240"/>
        <w:jc w:val="center"/>
        <w:spacing w:line="560" w:lineRule="exact"/>
        <w:rPr>
          <w:rFonts w:hint="eastAsia" w:ascii="宋体" w:hAnsi="宋体"/>
          <w:bCs/>
          <w:sz w:val="24"/>
        </w:rPr>
      </w:pPr>
      <w:r>
        <w:rPr>
          <w:rFonts w:hint="eastAsia" w:ascii="宋体" w:hAnsi="宋体"/>
          <w:bCs/>
          <w:sz w:val="24"/>
        </w:rPr>
      </w:r>
      <w:r/>
    </w:p>
    <w:p>
      <w:pPr>
        <w:pStyle w:val="860"/>
        <w:ind w:firstLine="240"/>
        <w:jc w:val="center"/>
        <w:spacing w:line="560" w:lineRule="exact"/>
        <w:rPr>
          <w:rFonts w:hint="eastAsia" w:ascii="宋体" w:hAnsi="宋体"/>
          <w:bCs/>
          <w:sz w:val="24"/>
        </w:rPr>
      </w:pPr>
      <w:r>
        <w:rPr>
          <w:rFonts w:hint="eastAsia" w:ascii="宋体" w:hAnsi="宋体"/>
          <w:bCs/>
          <w:sz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pStyle w:val="860"/>
        <w:rPr>
          <w:rFonts w:hint="eastAsia" w:ascii="宋体" w:hAnsi="宋体"/>
          <w:sz w:val="24"/>
          <w:szCs w:val="24"/>
        </w:rPr>
      </w:pPr>
      <w:r>
        <w:rPr>
          <w:rFonts w:hint="eastAsia" w:ascii="宋体" w:hAnsi="宋体"/>
          <w:sz w:val="24"/>
          <w:szCs w:val="24"/>
        </w:rPr>
        <w:t xml:space="preserve">投标人名称：（加盖电子公章）</w:t>
      </w:r>
      <w:r/>
    </w:p>
    <w:p>
      <w:pPr>
        <w:pStyle w:val="860"/>
        <w:rPr>
          <w:sz w:val="24"/>
          <w:szCs w:val="24"/>
        </w:rPr>
      </w:pPr>
      <w:r>
        <w:rPr>
          <w:rFonts w:hint="eastAsia" w:ascii="宋体" w:hAnsi="宋体"/>
          <w:sz w:val="24"/>
          <w:szCs w:val="24"/>
        </w:rPr>
        <w:t xml:space="preserve">项目名称：</w:t>
      </w:r>
      <w:r>
        <w:rPr>
          <w:sz w:val="24"/>
          <w:szCs w:val="24"/>
        </w:rPr>
      </w:r>
      <w:r/>
    </w:p>
    <w:p>
      <w:pPr>
        <w:pStyle w:val="860"/>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52"/>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0"/>
        <w:rPr>
          <w:rFonts w:ascii="宋体" w:hAnsi="宋体"/>
          <w:sz w:val="24"/>
          <w:szCs w:val="24"/>
        </w:rPr>
      </w:pPr>
      <w:r>
        <w:rPr>
          <w:rFonts w:ascii="宋体" w:hAnsi="宋体"/>
          <w:sz w:val="24"/>
          <w:szCs w:val="24"/>
        </w:rPr>
      </w:r>
      <w:r/>
    </w:p>
    <w:p>
      <w:pPr>
        <w:pStyle w:val="860"/>
        <w:ind w:firstLine="480"/>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0"/>
        <w:ind w:firstLine="482"/>
        <w:spacing w:line="480" w:lineRule="exact"/>
        <w:rPr>
          <w:rFonts w:hint="eastAsia" w:ascii="宋体" w:hAnsi="宋体"/>
          <w:b/>
          <w:bCs/>
          <w:sz w:val="24"/>
          <w:szCs w:val="24"/>
        </w:rPr>
      </w:pPr>
      <w:r>
        <w:rPr>
          <w:rFonts w:hint="eastAsia" w:ascii="宋体" w:hAnsi="宋体"/>
          <w:b/>
          <w:bCs/>
          <w:sz w:val="24"/>
          <w:szCs w:val="24"/>
        </w:rPr>
      </w:r>
      <w:r/>
    </w:p>
    <w:p>
      <w:pPr>
        <w:pStyle w:val="860"/>
        <w:ind w:firstLine="482"/>
        <w:spacing w:line="480" w:lineRule="exact"/>
        <w:rPr>
          <w:rFonts w:hint="eastAsia" w:ascii="宋体" w:hAnsi="宋体"/>
          <w:b/>
          <w:bCs/>
          <w:sz w:val="24"/>
          <w:szCs w:val="24"/>
        </w:rPr>
      </w:pPr>
      <w:r>
        <w:rPr>
          <w:rFonts w:hint="eastAsia" w:ascii="宋体" w:hAnsi="宋体"/>
          <w:b/>
          <w:bCs/>
          <w:sz w:val="24"/>
          <w:szCs w:val="24"/>
        </w:rPr>
      </w:r>
      <w:r/>
    </w:p>
    <w:p>
      <w:pPr>
        <w:pStyle w:val="860"/>
        <w:ind w:firstLine="482"/>
        <w:spacing w:line="480" w:lineRule="exact"/>
        <w:rPr>
          <w:rFonts w:hint="eastAsia" w:ascii="宋体" w:hAnsi="宋体"/>
          <w:b/>
          <w:bCs/>
          <w:sz w:val="24"/>
          <w:szCs w:val="24"/>
        </w:rPr>
      </w:pPr>
      <w:r>
        <w:rPr>
          <w:rFonts w:hint="eastAsia" w:ascii="宋体" w:hAnsi="宋体"/>
          <w:b/>
          <w:bCs/>
          <w:sz w:val="24"/>
          <w:szCs w:val="24"/>
        </w:rPr>
        <w:t xml:space="preserve">备注：投标人报价低于采购项目预算50%，或者低于采购项目最高限价45%，或者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rPr>
          <w:rFonts w:hint="eastAsia" w:ascii="宋体" w:hAnsi="宋体"/>
          <w:b/>
          <w:bCs/>
          <w:sz w:val="24"/>
          <w:szCs w:val="24"/>
        </w:rPr>
      </w:r>
      <w:r/>
    </w:p>
    <w:p>
      <w:pPr>
        <w:pStyle w:val="860"/>
        <w:jc w:val="center"/>
        <w:spacing w:line="360" w:lineRule="auto"/>
        <w:rPr>
          <w:rFonts w:hint="eastAsia" w:ascii="黑体" w:eastAsia="黑体"/>
          <w:sz w:val="32"/>
          <w:szCs w:val="32"/>
        </w:rPr>
      </w:pPr>
      <w:r>
        <w:rPr>
          <w:rFonts w:hint="eastAsia" w:ascii="黑体" w:eastAsia="黑体"/>
          <w:sz w:val="32"/>
          <w:szCs w:val="32"/>
        </w:rPr>
      </w:r>
      <w:r/>
    </w:p>
    <w:p>
      <w:pPr>
        <w:pStyle w:val="860"/>
        <w:jc w:val="center"/>
        <w:spacing w:line="360" w:lineRule="auto"/>
        <w:rPr>
          <w:rFonts w:hint="eastAsia" w:ascii="黑体" w:eastAsia="黑体"/>
          <w:sz w:val="32"/>
          <w:szCs w:val="32"/>
        </w:rPr>
      </w:pPr>
      <w:r>
        <w:rPr>
          <w:rFonts w:hint="eastAsia" w:asci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六、核心产品品牌一览表</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核心产品品牌一览表</w:t>
      </w:r>
      <w:r/>
    </w:p>
    <w:tbl>
      <w:tblPr>
        <w:tblpPr w:horzAnchor="margin" w:tblpXSpec="center" w:vertAnchor="text" w:tblpY="133" w:leftFromText="180" w:topFromText="0" w:rightFromText="180" w:bottomFromText="0"/>
        <w:tblW w:w="976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860"/>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pStyle w:val="860"/>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pStyle w:val="860"/>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pStyle w:val="860"/>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规格或型号</w:t>
            </w:r>
            <w:r/>
          </w:p>
        </w:tc>
      </w:tr>
      <w:tr>
        <w:trP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860"/>
              <w:jc w:val="center"/>
              <w:spacing w:line="0" w:lineRule="atLeast"/>
              <w:rPr>
                <w:rFonts w:hint="eastAsia" w:ascii="宋体" w:hAnsi="宋体"/>
                <w:sz w:val="24"/>
                <w:szCs w:val="24"/>
                <w:lang w:val="zh-CN"/>
              </w:rPr>
              <w:framePr w:hSpace="180" w:wrap="around" w:vAnchor="text" w:hAnchor="margin" w:xAlign="center" w:y="133"/>
            </w:pPr>
            <w:r>
              <w:rPr>
                <w:rFonts w:ascii="宋体" w:hAnsi="宋体" w:cs="宋体"/>
                <w:szCs w:val="21"/>
                <w:lang w:val="zh-CN"/>
              </w:rPr>
              <w:t xml:space="preserve">1</w:t>
            </w:r>
            <w:r>
              <w:rPr>
                <w:rFonts w:hint="eastAsia" w:ascii="宋体" w:hAnsi="宋体"/>
                <w:sz w:val="24"/>
                <w:szCs w:val="24"/>
                <w:lang w:val="zh-CN"/>
              </w:rPr>
            </w:r>
            <w:r/>
          </w:p>
        </w:tc>
        <w:tc>
          <w:tcPr>
            <w:tcBorders>
              <w:left w:val="single" w:color="000000" w:sz="4" w:space="0"/>
              <w:right w:val="single" w:color="000000" w:sz="4" w:space="0"/>
            </w:tcBorders>
            <w:tcW w:w="3753" w:type="dxa"/>
            <w:vAlign w:val="center"/>
            <w:textDirection w:val="lrTb"/>
            <w:noWrap w:val="false"/>
          </w:tcPr>
          <w:p>
            <w:pPr>
              <w:pStyle w:val="860"/>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158" w:type="dxa"/>
            <w:vAlign w:val="top"/>
            <w:textDirection w:val="lrTb"/>
            <w:noWrap w:val="false"/>
          </w:tcPr>
          <w:p>
            <w:pPr>
              <w:pStyle w:val="860"/>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601" w:type="dxa"/>
            <w:vAlign w:val="top"/>
            <w:textDirection w:val="lrTb"/>
            <w:noWrap w:val="false"/>
          </w:tcPr>
          <w:p>
            <w:pPr>
              <w:pStyle w:val="860"/>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r>
    </w:tbl>
    <w:p>
      <w:pPr>
        <w:pStyle w:val="860"/>
        <w:ind w:firstLine="480"/>
        <w:jc w:val="left"/>
        <w:spacing w:line="360" w:lineRule="auto"/>
        <w:widowControl/>
        <w:rPr>
          <w:rFonts w:hint="eastAsia" w:ascii="宋体" w:hAnsi="宋体"/>
          <w:sz w:val="24"/>
          <w:szCs w:val="24"/>
        </w:rPr>
      </w:pPr>
      <w:r>
        <w:rPr>
          <w:rFonts w:hint="eastAsia" w:ascii="宋体" w:hAnsi="宋体"/>
          <w:sz w:val="24"/>
          <w:szCs w:val="24"/>
        </w:rPr>
      </w:r>
      <w:r/>
    </w:p>
    <w:p>
      <w:pPr>
        <w:pStyle w:val="860"/>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pStyle w:val="860"/>
        <w:ind w:firstLine="482"/>
        <w:spacing w:line="480" w:lineRule="exact"/>
        <w:rPr>
          <w:rFonts w:hint="eastAsia" w:ascii="宋体" w:hAnsi="宋体"/>
          <w:b/>
          <w:bCs/>
          <w:sz w:val="24"/>
          <w:szCs w:val="24"/>
        </w:rPr>
      </w:pPr>
      <w:r>
        <w:rPr>
          <w:rFonts w:hint="eastAsia" w:ascii="宋体" w:hAnsi="宋体"/>
          <w:b/>
          <w:bCs/>
          <w:sz w:val="24"/>
          <w:szCs w:val="24"/>
        </w:rPr>
      </w:r>
      <w:r/>
    </w:p>
    <w:p>
      <w:pPr>
        <w:pStyle w:val="860"/>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p>
    <w:tbl>
      <w:tblPr>
        <w:tblW w:w="98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603"/>
        </w:trPr>
        <w:tc>
          <w:tcPr>
            <w:tcW w:w="581" w:type="dxa"/>
            <w:vAlign w:val="center"/>
            <w:vMerge w:val="continue"/>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2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60"/>
              <w:spacing w:line="0" w:lineRule="atLeast"/>
              <w:rPr>
                <w:rFonts w:hint="eastAsia" w:ascii="宋体" w:hAnsi="宋体"/>
                <w:sz w:val="24"/>
                <w:szCs w:val="24"/>
              </w:rPr>
            </w:pPr>
            <w:r>
              <w:rPr>
                <w:rFonts w:hint="eastAsia" w:ascii="宋体" w:hAnsi="宋体"/>
                <w:sz w:val="24"/>
                <w:szCs w:val="24"/>
              </w:rPr>
              <w:t xml:space="preserve">投标总价（元）：</w:t>
            </w:r>
            <w:r/>
          </w:p>
        </w:tc>
      </w:tr>
    </w:tbl>
    <w:p>
      <w:pPr>
        <w:pStyle w:val="860"/>
        <w:ind w:firstLine="480"/>
        <w:rPr>
          <w:rFonts w:hint="eastAsia" w:ascii="宋体" w:hAnsi="宋体"/>
          <w:sz w:val="24"/>
          <w:szCs w:val="24"/>
        </w:rPr>
      </w:pP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投标人名称：（加盖电子公章）</w:t>
      </w:r>
      <w:r/>
    </w:p>
    <w:p>
      <w:pPr>
        <w:pStyle w:val="860"/>
        <w:ind w:firstLine="480"/>
        <w:rPr>
          <w:rFonts w:hint="eastAsia" w:ascii="宋体" w:hAnsi="宋体"/>
          <w:sz w:val="24"/>
          <w:szCs w:val="24"/>
        </w:rPr>
      </w:pPr>
      <w:r>
        <w:rPr>
          <w:rFonts w:hint="eastAsia" w:ascii="宋体" w:hAnsi="宋体"/>
          <w:sz w:val="24"/>
          <w:szCs w:val="24"/>
        </w:rPr>
      </w:r>
      <w:r/>
    </w:p>
    <w:p>
      <w:pPr>
        <w:pStyle w:val="926"/>
        <w:ind w:firstLine="480"/>
        <w:jc w:val="both"/>
        <w:spacing w:before="0" w:beforeAutospacing="0" w:after="0" w:afterAutospacing="0" w:line="360" w:lineRule="auto"/>
      </w:pPr>
      <w:r>
        <w:t xml:space="preserve">备注： </w:t>
      </w:r>
      <w:r/>
    </w:p>
    <w:p>
      <w:pPr>
        <w:pStyle w:val="926"/>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926"/>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p>
    <w:p>
      <w:pPr>
        <w:pStyle w:val="926"/>
        <w:ind w:firstLine="480"/>
        <w:jc w:val="both"/>
        <w:spacing w:before="0" w:beforeAutospacing="0" w:after="0" w:afterAutospacing="0" w:line="360" w:lineRule="auto"/>
        <w:rPr>
          <w:rFonts w:hint="eastAsia"/>
        </w:rPr>
      </w:pPr>
      <w:r>
        <w:rPr>
          <w:rFonts w:hint="eastAsia"/>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rPr>
          <w:rFonts w:hint="eastAsia"/>
        </w:rPr>
      </w:r>
      <w:r/>
    </w:p>
    <w:p>
      <w:pPr>
        <w:pStyle w:val="926"/>
        <w:ind w:firstLine="480"/>
        <w:jc w:val="both"/>
        <w:spacing w:before="0" w:beforeAutospacing="0" w:after="0" w:afterAutospacing="0" w:line="360" w:lineRule="auto"/>
      </w:pPr>
      <w:r>
        <w:rPr>
          <w:rFonts w:hint="eastAsia"/>
        </w:rPr>
        <w:t xml:space="preserve">4.行数不够，可自行添加。</w:t>
      </w:r>
      <w:r/>
    </w:p>
    <w:p>
      <w:pPr>
        <w:pStyle w:val="860"/>
        <w:spacing w:line="480" w:lineRule="exact"/>
        <w:rPr>
          <w:rFonts w:ascii="宋体" w:hAnsi="宋体"/>
          <w:sz w:val="24"/>
          <w:szCs w:val="24"/>
        </w:rPr>
      </w:pPr>
      <w:r>
        <w:rPr>
          <w:rFonts w:ascii="宋体" w:hAnsi="宋体"/>
          <w:sz w:val="24"/>
          <w:szCs w:val="24"/>
        </w:rPr>
      </w:r>
      <w:r/>
    </w:p>
    <w:p>
      <w:pPr>
        <w:pStyle w:val="860"/>
        <w:rPr>
          <w:rFonts w:ascii="宋体" w:hAnsi="宋体"/>
          <w:sz w:val="24"/>
          <w:szCs w:val="24"/>
        </w:rPr>
      </w:pPr>
      <w:r>
        <w:rPr>
          <w:rFonts w:ascii="宋体" w:hAnsi="宋体"/>
          <w:sz w:val="24"/>
          <w:szCs w:val="24"/>
        </w:rPr>
      </w:r>
      <w:r/>
    </w:p>
    <w:p>
      <w:pPr>
        <w:pStyle w:val="860"/>
        <w:rPr>
          <w:rFonts w:ascii="宋体" w:hAnsi="宋体"/>
          <w:sz w:val="24"/>
          <w:szCs w:val="24"/>
        </w:rPr>
      </w:pPr>
      <w:r>
        <w:rPr>
          <w:rFonts w:ascii="宋体" w:hAnsi="宋体"/>
          <w:sz w:val="24"/>
          <w:szCs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八、技术要求响应及偏离表</w:t>
      </w:r>
      <w:r/>
    </w:p>
    <w:p>
      <w:pPr>
        <w:pStyle w:val="860"/>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pStyle w:val="860"/>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ind w:right="180" w:firstLine="480"/>
        <w:spacing w:line="560" w:lineRule="exact"/>
        <w:rPr>
          <w:rFonts w:hint="eastAsia" w:ascii="宋体" w:hAnsi="宋体"/>
          <w:sz w:val="24"/>
          <w:szCs w:val="24"/>
        </w:rPr>
      </w:pPr>
      <w:r>
        <w:rPr>
          <w:rFonts w:hint="eastAsia" w:ascii="宋体" w:hAnsi="宋体"/>
          <w:sz w:val="24"/>
          <w:szCs w:val="24"/>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26"/>
        <w:ind w:firstLine="480"/>
        <w:jc w:val="both"/>
        <w:spacing w:before="0" w:beforeAutospacing="0" w:after="0" w:afterAutospacing="0"/>
      </w:pPr>
      <w:r/>
      <w:r/>
    </w:p>
    <w:p>
      <w:pPr>
        <w:pStyle w:val="926"/>
        <w:ind w:firstLine="480"/>
        <w:jc w:val="both"/>
        <w:spacing w:before="0" w:beforeAutospacing="0" w:after="0" w:afterAutospacing="0" w:line="360" w:lineRule="auto"/>
      </w:pPr>
      <w:r>
        <w:t xml:space="preserve">备注： </w:t>
      </w:r>
      <w:r/>
    </w:p>
    <w:p>
      <w:pPr>
        <w:pStyle w:val="926"/>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926"/>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926"/>
        <w:ind w:firstLine="480"/>
        <w:jc w:val="both"/>
        <w:spacing w:before="0" w:beforeAutospacing="0" w:after="0" w:afterAutospacing="0" w:line="360" w:lineRule="auto"/>
        <w:rPr>
          <w:rFonts w:hint="eastAsia"/>
        </w:rPr>
      </w:pPr>
      <w:r>
        <w:rPr>
          <w:rFonts w:hint="eastAsia"/>
        </w:rPr>
        <w:t xml:space="preserve">3.行数不够，可自行添加。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rPr>
          <w:rFonts w:hint="eastAsia"/>
        </w:rPr>
      </w:pPr>
      <w:r>
        <w:rPr>
          <w:rFonts w:hint="eastAsia"/>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pStyle w:val="860"/>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投标响应情况</w:t>
            </w:r>
            <w:r/>
          </w:p>
        </w:tc>
        <w:tc>
          <w:tcPr>
            <w:tcW w:w="3352" w:type="dxa"/>
            <w:vAlign w:val="center"/>
            <w:textDirection w:val="lrTb"/>
            <w:noWrap w:val="false"/>
          </w:tcPr>
          <w:p>
            <w:pPr>
              <w:pStyle w:val="860"/>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ind w:right="180" w:firstLine="480"/>
        <w:spacing w:line="560" w:lineRule="exact"/>
        <w:rPr>
          <w:rFonts w:hint="eastAsia" w:ascii="宋体" w:hAnsi="宋体"/>
          <w:sz w:val="24"/>
          <w:szCs w:val="24"/>
        </w:rPr>
      </w:pPr>
      <w:r>
        <w:rPr>
          <w:rFonts w:hint="eastAsia" w:ascii="宋体" w:hAnsi="宋体"/>
          <w:sz w:val="24"/>
          <w:szCs w:val="24"/>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860"/>
        <w:ind w:firstLine="480"/>
        <w:rPr>
          <w:rFonts w:hint="eastAsia" w:ascii="宋体" w:hAnsi="宋体"/>
          <w:sz w:val="24"/>
          <w:szCs w:val="24"/>
        </w:rPr>
      </w:pPr>
      <w:r>
        <w:rPr>
          <w:rFonts w:hint="eastAsia" w:ascii="宋体" w:hAnsi="宋体"/>
          <w:sz w:val="24"/>
          <w:szCs w:val="24"/>
        </w:rPr>
      </w:r>
      <w:r/>
    </w:p>
    <w:p>
      <w:pPr>
        <w:pStyle w:val="926"/>
        <w:ind w:firstLine="480"/>
        <w:jc w:val="both"/>
        <w:spacing w:before="0" w:beforeAutospacing="0" w:after="0" w:afterAutospacing="0" w:line="360" w:lineRule="auto"/>
        <w:rPr>
          <w:rFonts w:hint="eastAsia"/>
        </w:rPr>
      </w:pPr>
      <w:r>
        <w:rPr>
          <w:rFonts w:hint="eastAsia"/>
        </w:rPr>
        <w:t xml:space="preserve">备注： </w:t>
      </w:r>
      <w:r/>
    </w:p>
    <w:p>
      <w:pPr>
        <w:pStyle w:val="926"/>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926"/>
        <w:ind w:firstLine="480"/>
        <w:jc w:val="both"/>
        <w:spacing w:before="0" w:beforeAutospacing="0" w:after="0" w:afterAutospacing="0" w:line="360" w:lineRule="auto"/>
        <w:rPr>
          <w:rFonts w:hint="eastAsia"/>
        </w:rPr>
      </w:pPr>
      <w:r>
        <w:rPr>
          <w:rFonts w:hint="eastAsia"/>
        </w:rPr>
        <w:t xml:space="preserve">2.行数不够，可自行添加。</w:t>
      </w:r>
      <w:r/>
    </w:p>
    <w:p>
      <w:pPr>
        <w:pStyle w:val="860"/>
        <w:spacing w:line="480" w:lineRule="auto"/>
        <w:rPr>
          <w:rFonts w:hint="eastAsia" w:ascii="宋体" w:hAnsi="宋体"/>
          <w:sz w:val="24"/>
          <w:szCs w:val="21"/>
        </w:rPr>
      </w:pPr>
      <w:r>
        <w:rPr>
          <w:rFonts w:hint="eastAsia" w:ascii="宋体" w:hAnsi="宋体"/>
          <w:sz w:val="24"/>
          <w:szCs w:val="21"/>
        </w:rPr>
      </w:r>
      <w:r/>
    </w:p>
    <w:p>
      <w:pPr>
        <w:pStyle w:val="860"/>
        <w:spacing w:line="480" w:lineRule="auto"/>
        <w:rPr>
          <w:rFonts w:hint="eastAsia" w:ascii="仿宋_GB2312" w:hAnsi="Arial"/>
          <w:sz w:val="30"/>
          <w:szCs w:val="21"/>
        </w:rPr>
      </w:pPr>
      <w:r>
        <w:rPr>
          <w:rFonts w:hint="eastAsia" w:ascii="仿宋_GB2312" w:hAnsi="Arial"/>
          <w:sz w:val="30"/>
          <w:szCs w:val="21"/>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41"/>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860"/>
        <w:rPr>
          <w:rFonts w:hint="eastAsia"/>
        </w:rPr>
      </w:pPr>
      <w:r>
        <w:rPr>
          <w:rFonts w:hint="eastAsia"/>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中小企业声明函（货物）</w:t>
      </w:r>
      <w:r/>
    </w:p>
    <w:p>
      <w:pPr>
        <w:pStyle w:val="860"/>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pStyle w:val="860"/>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0"/>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0"/>
        <w:ind w:firstLine="360"/>
        <w:spacing w:line="336" w:lineRule="auto"/>
        <w:rPr>
          <w:rFonts w:hint="eastAsia" w:ascii="宋体" w:hAnsi="宋体"/>
          <w:sz w:val="24"/>
          <w:szCs w:val="24"/>
        </w:rPr>
      </w:pPr>
      <w:r>
        <w:rPr>
          <w:rFonts w:hint="eastAsia" w:ascii="宋体" w:hAnsi="宋体"/>
          <w:sz w:val="24"/>
          <w:szCs w:val="24"/>
        </w:rPr>
        <w:t xml:space="preserve">……</w:t>
      </w:r>
      <w:r/>
    </w:p>
    <w:p>
      <w:pPr>
        <w:pStyle w:val="860"/>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60"/>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41"/>
        <w:spacing w:line="336" w:lineRule="auto"/>
        <w:rPr>
          <w:rFonts w:hint="eastAsia" w:ascii="宋体" w:hAnsi="宋体"/>
          <w:sz w:val="24"/>
          <w:szCs w:val="24"/>
        </w:rPr>
      </w:pPr>
      <w:r>
        <w:rPr>
          <w:rFonts w:hint="eastAsia" w:ascii="宋体" w:hAnsi="宋体"/>
          <w:sz w:val="24"/>
          <w:szCs w:val="24"/>
        </w:rPr>
      </w:r>
      <w:r/>
    </w:p>
    <w:p>
      <w:pPr>
        <w:pStyle w:val="860"/>
        <w:spacing w:line="336" w:lineRule="auto"/>
        <w:rPr>
          <w:rFonts w:hint="eastAsia"/>
        </w:rPr>
      </w:pPr>
      <w:r>
        <w:rPr>
          <w:rFonts w:hint="eastAsia"/>
        </w:rPr>
      </w:r>
      <w:r/>
    </w:p>
    <w:p>
      <w:pPr>
        <w:pStyle w:val="860"/>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pStyle w:val="860"/>
        <w:ind w:firstLine="6000"/>
        <w:spacing w:line="336"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336" w:lineRule="auto"/>
        <w:rPr>
          <w:rFonts w:hint="eastAsia" w:ascii="宋体" w:hAnsi="宋体"/>
          <w:sz w:val="24"/>
          <w:szCs w:val="24"/>
        </w:rPr>
      </w:pPr>
      <w:r>
        <w:rPr>
          <w:rFonts w:hint="eastAsia" w:ascii="宋体" w:hAnsi="宋体"/>
          <w:sz w:val="24"/>
          <w:szCs w:val="24"/>
        </w:rPr>
      </w:r>
      <w:r/>
    </w:p>
    <w:p>
      <w:pPr>
        <w:pStyle w:val="860"/>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w:t>
      </w:r>
      <w:r>
        <w:rPr>
          <w:rFonts w:hint="eastAsia" w:ascii="宋体" w:hAnsi="宋体"/>
          <w:b/>
          <w:bCs/>
          <w:sz w:val="24"/>
          <w:szCs w:val="24"/>
        </w:rPr>
        <w:t xml:space="preserve">商号或者注册商标）</w:t>
      </w:r>
      <w:r>
        <w:rPr>
          <w:rFonts w:hint="eastAsia" w:ascii="宋体" w:hAnsi="宋体"/>
          <w:sz w:val="24"/>
          <w:szCs w:val="24"/>
        </w:rPr>
        <w:t xml:space="preserve">，不对其中涉及的服务的承接商、工程的承建商作出要求。</w:t>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860"/>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pStyle w:val="860"/>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41"/>
        <w:rPr>
          <w:rFonts w:hint="eastAsia" w:ascii="宋体" w:hAnsi="宋体"/>
          <w:sz w:val="24"/>
          <w:szCs w:val="24"/>
        </w:rPr>
      </w:pPr>
      <w:r>
        <w:rPr>
          <w:rFonts w:hint="eastAsia" w:ascii="宋体" w:hAnsi="宋体"/>
          <w:sz w:val="24"/>
          <w:szCs w:val="24"/>
        </w:rPr>
      </w:r>
      <w:r/>
    </w:p>
    <w:p>
      <w:pPr>
        <w:pStyle w:val="860"/>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860"/>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588" w:lineRule="exact"/>
        <w:rPr>
          <w:rFonts w:hint="eastAsia" w:ascii="宋体" w:hAnsi="宋体"/>
          <w:sz w:val="24"/>
        </w:rPr>
      </w:pPr>
      <w:r>
        <w:rPr>
          <w:rFonts w:hint="eastAsia" w:ascii="宋体" w:hAnsi="宋体"/>
          <w:sz w:val="24"/>
        </w:rPr>
      </w:r>
      <w:r/>
    </w:p>
    <w:p>
      <w:pPr>
        <w:pStyle w:val="860"/>
        <w:ind w:firstLine="480"/>
        <w:spacing w:line="480" w:lineRule="exact"/>
        <w:rPr>
          <w:rFonts w:hint="eastAsia" w:ascii="宋体" w:hAnsi="宋体"/>
          <w:sz w:val="24"/>
        </w:rPr>
      </w:pPr>
      <w:r>
        <w:rPr>
          <w:rFonts w:hint="eastAsia" w:ascii="宋体" w:hAnsi="宋体"/>
          <w:sz w:val="24"/>
        </w:rPr>
        <w:t xml:space="preserve">备注：</w:t>
      </w:r>
      <w:r/>
    </w:p>
    <w:p>
      <w:pPr>
        <w:pStyle w:val="860"/>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pStyle w:val="860"/>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860"/>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79"/>
      </w:pPr>
      <w:r/>
      <w:r/>
    </w:p>
    <w:p>
      <w:pPr>
        <w:pStyle w:val="860"/>
        <w:ind w:firstLine="5760"/>
        <w:spacing w:line="560" w:lineRule="exact"/>
        <w:rPr>
          <w:rFonts w:hint="eastAsia" w:ascii="宋体" w:hAnsi="宋体"/>
          <w:sz w:val="24"/>
          <w:szCs w:val="24"/>
        </w:rPr>
      </w:pPr>
      <w:r>
        <w:rPr>
          <w:rFonts w:hint="eastAsia" w:ascii="宋体" w:hAnsi="宋体"/>
          <w:sz w:val="24"/>
          <w:szCs w:val="24"/>
        </w:rPr>
        <w:t xml:space="preserve">                                         </w:t>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860"/>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十二、联合体协议</w:t>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w:t>
      </w:r>
      <w:r>
        <w:rPr>
          <w:rFonts w:hint="eastAsia" w:ascii="方正小标宋简体" w:hAnsi="方正小标宋简体" w:eastAsia="方正小标宋简体" w:cs="方正小标宋简体"/>
          <w:sz w:val="32"/>
          <w:szCs w:val="32"/>
        </w:rPr>
        <w:t xml:space="preserve">协议</w:t>
      </w:r>
      <w:r/>
    </w:p>
    <w:p>
      <w:pPr>
        <w:pStyle w:val="860"/>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0"/>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860"/>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860"/>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860"/>
        <w:ind w:firstLine="645"/>
        <w:spacing w:line="560" w:lineRule="exact"/>
        <w:rPr>
          <w:rFonts w:hint="eastAsia" w:ascii="宋体" w:hAnsi="宋体"/>
          <w:sz w:val="24"/>
        </w:rPr>
      </w:pPr>
      <w:r>
        <w:rPr>
          <w:rFonts w:hint="eastAsia" w:ascii="宋体" w:hAnsi="宋体"/>
          <w:sz w:val="24"/>
        </w:rPr>
      </w:r>
      <w:r/>
    </w:p>
    <w:p>
      <w:pPr>
        <w:pStyle w:val="860"/>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60"/>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860"/>
        <w:ind w:firstLine="528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480" w:lineRule="exact"/>
        <w:rPr>
          <w:rFonts w:hint="eastAsia" w:ascii="宋体" w:hAnsi="宋体"/>
          <w:sz w:val="24"/>
        </w:rPr>
      </w:pPr>
      <w:r>
        <w:rPr>
          <w:rFonts w:hint="eastAsia" w:ascii="宋体" w:hAnsi="宋体"/>
          <w:sz w:val="24"/>
        </w:rPr>
      </w:r>
      <w:r/>
    </w:p>
    <w:p>
      <w:pPr>
        <w:pStyle w:val="860"/>
        <w:ind w:firstLine="480"/>
        <w:spacing w:line="480" w:lineRule="exact"/>
        <w:rPr>
          <w:rFonts w:hint="eastAsia" w:ascii="宋体" w:hAnsi="宋体"/>
          <w:sz w:val="24"/>
        </w:rPr>
      </w:pPr>
      <w:r>
        <w:rPr>
          <w:rFonts w:hint="eastAsia" w:ascii="宋体" w:hAnsi="宋体"/>
          <w:sz w:val="24"/>
        </w:rPr>
        <w:t xml:space="preserve">备注：</w:t>
      </w:r>
      <w:r/>
    </w:p>
    <w:p>
      <w:pPr>
        <w:pStyle w:val="860"/>
        <w:ind w:firstLine="480"/>
        <w:spacing w:line="480" w:lineRule="exact"/>
        <w:rPr>
          <w:rFonts w:hint="eastAsia" w:ascii="宋体" w:hAnsi="宋体"/>
          <w:sz w:val="24"/>
        </w:rPr>
      </w:pPr>
      <w:r>
        <w:rPr>
          <w:rFonts w:hint="eastAsia" w:ascii="宋体" w:hAnsi="宋体"/>
          <w:sz w:val="24"/>
        </w:rPr>
        <w:t xml:space="preserve">1.牵头单位必须为联合体成员。</w:t>
      </w:r>
      <w:r/>
    </w:p>
    <w:p>
      <w:pPr>
        <w:pStyle w:val="860"/>
        <w:ind w:firstLine="480"/>
        <w:spacing w:line="480" w:lineRule="exact"/>
        <w:rPr>
          <w:rFonts w:hint="eastAsia" w:ascii="宋体" w:hAnsi="宋体"/>
          <w:sz w:val="24"/>
          <w:szCs w:val="24"/>
        </w:rPr>
      </w:pPr>
      <w:r>
        <w:rPr>
          <w:rFonts w:hint="eastAsia" w:ascii="宋体" w:hAnsi="宋体"/>
          <w:sz w:val="24"/>
          <w:szCs w:val="24"/>
        </w:rPr>
        <w:t xml:space="preserve">2.在</w:t>
      </w:r>
      <w:r>
        <w:rPr>
          <w:rFonts w:hint="eastAsia" w:ascii="宋体" w:hAnsi="宋体"/>
          <w:sz w:val="24"/>
          <w:szCs w:val="24"/>
        </w:rPr>
        <w:t xml:space="preserve">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pStyle w:val="860"/>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932"/>
        <w:ind w:firstLine="480"/>
        <w:rPr>
          <w:rFonts w:hint="eastAsia"/>
          <w:sz w:val="24"/>
        </w:rPr>
      </w:pPr>
      <w:r>
        <w:rPr>
          <w:rFonts w:hint="eastAsia"/>
          <w:sz w:val="24"/>
        </w:rPr>
      </w:r>
      <w:r/>
    </w:p>
    <w:p>
      <w:pPr>
        <w:pStyle w:val="860"/>
        <w:rPr>
          <w:rFonts w:hint="eastAsia"/>
        </w:rPr>
      </w:pPr>
      <w:r>
        <w:rPr>
          <w:rFonts w:hint="eastAsia"/>
        </w:rPr>
      </w:r>
      <w:r/>
    </w:p>
    <w:p>
      <w:pPr>
        <w:ind w:firstLine="645"/>
        <w:spacing w:line="560" w:lineRule="exact"/>
        <w:rPr>
          <w:rFonts w:ascii="宋体" w:hAnsi="宋体"/>
          <w:sz w:val="24"/>
          <w:szCs w:val="24"/>
        </w:rPr>
      </w:pPr>
      <w:r>
        <w:rPr>
          <w:rFonts w:ascii="宋体" w:hAnsi="宋体"/>
          <w:sz w:val="24"/>
        </w:rPr>
      </w:r>
      <w:r>
        <w:rPr>
          <w:rFonts w:ascii="宋体" w:hAnsi="宋体"/>
          <w:sz w:val="24"/>
        </w:rPr>
      </w:r>
      <w:r/>
    </w:p>
    <w:p>
      <w:pPr>
        <w:ind w:firstLine="645"/>
        <w:spacing w:line="560" w:lineRule="exact"/>
        <w:rPr>
          <w:rFonts w:ascii="宋体" w:hAnsi="宋体"/>
          <w:sz w:val="24"/>
          <w:szCs w:val="24"/>
        </w:rPr>
      </w:pPr>
      <w:r>
        <w:rPr>
          <w:rFonts w:ascii="宋体" w:hAnsi="宋体"/>
          <w:sz w:val="24"/>
          <w:szCs w:val="24"/>
        </w:rPr>
      </w:r>
      <w:r>
        <w:rPr>
          <w:rFonts w:ascii="宋体" w:hAnsi="宋体"/>
          <w:sz w:val="24"/>
          <w:szCs w:val="24"/>
        </w:rPr>
      </w:r>
      <w:r/>
    </w:p>
    <w:p>
      <w:pPr>
        <w:ind w:firstLine="645"/>
        <w:spacing w:line="560" w:lineRule="exact"/>
        <w:rPr>
          <w:rFonts w:ascii="宋体" w:hAnsi="宋体"/>
          <w:sz w:val="24"/>
          <w:szCs w:val="24"/>
        </w:rPr>
      </w:pPr>
      <w:r>
        <w:rPr>
          <w:rFonts w:ascii="宋体" w:hAnsi="宋体"/>
          <w:sz w:val="24"/>
          <w:szCs w:val="24"/>
        </w:rPr>
      </w:r>
      <w:r>
        <w:rPr>
          <w:rFonts w:ascii="宋体" w:hAnsi="宋体"/>
          <w:sz w:val="24"/>
          <w:szCs w:val="24"/>
        </w:rPr>
      </w:r>
      <w:r/>
    </w:p>
    <w:p>
      <w:pPr>
        <w:pStyle w:val="860"/>
        <w:ind w:firstLine="645"/>
        <w:spacing w:line="560" w:lineRule="exact"/>
        <w:rPr>
          <w:rFonts w:ascii="宋体" w:hAnsi="宋体"/>
          <w:sz w:val="24"/>
          <w:szCs w:val="24"/>
        </w:rPr>
      </w:pPr>
      <w:r>
        <w:rPr>
          <w:rFonts w:ascii="宋体" w:hAnsi="宋体"/>
          <w:sz w:val="24"/>
        </w:rPr>
      </w:r>
      <w:r/>
    </w:p>
    <w:p>
      <w:pPr>
        <w:pStyle w:val="860"/>
        <w:ind w:firstLine="645"/>
        <w:spacing w:line="560" w:lineRule="exact"/>
        <w:rPr>
          <w:rFonts w:hint="eastAsia" w:ascii="宋体" w:hAnsi="宋体"/>
          <w:sz w:val="24"/>
        </w:rPr>
      </w:pPr>
      <w:r>
        <w:rPr>
          <w:rFonts w:hint="eastAsia" w:ascii="宋体" w:hAnsi="宋体"/>
          <w:sz w:val="24"/>
        </w:rPr>
      </w:r>
      <w:r/>
    </w:p>
    <w:p>
      <w:pPr>
        <w:pStyle w:val="860"/>
        <w:jc w:val="center"/>
        <w:rPr>
          <w:rFonts w:hint="eastAsia" w:ascii="方正小标宋简体" w:hAnsi="方正小标宋简体" w:eastAsia="方正小标宋简体" w:cs="方正小标宋简体"/>
          <w:sz w:val="32"/>
          <w:szCs w:val="32"/>
        </w:rPr>
      </w:pPr>
      <w:r/>
      <w:bookmarkEnd w:id="209"/>
      <w:r>
        <w:rPr>
          <w:rFonts w:hint="eastAsia" w:ascii="方正小标宋简体" w:hAnsi="方正小标宋简体" w:eastAsia="方正小标宋简体" w:cs="方正小标宋简体"/>
          <w:sz w:val="32"/>
          <w:szCs w:val="32"/>
        </w:rPr>
        <w:t xml:space="preserve">质疑函范本</w:t>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860"/>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860"/>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86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0"/>
        <w:rPr>
          <w:rFonts w:hint="eastAsia" w:ascii="宋体" w:hAnsi="宋体"/>
          <w:sz w:val="24"/>
          <w:szCs w:val="24"/>
        </w:rPr>
      </w:pPr>
      <w:r>
        <w:rPr>
          <w:rFonts w:hint="eastAsia" w:ascii="宋体" w:hAnsi="宋体"/>
          <w:sz w:val="24"/>
          <w:szCs w:val="24"/>
        </w:rPr>
      </w:r>
      <w:r/>
    </w:p>
    <w:p>
      <w:pPr>
        <w:pStyle w:val="860"/>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0"/>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860"/>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6"/>
        <w:rFonts w:ascii="宋体" w:hAnsi="宋体"/>
      </w:rPr>
      <w:framePr w:wrap="around" w:vAnchor="text" w:hAnchor="margin" w:xAlign="center" w:y="1"/>
    </w:pPr>
    <w:r>
      <w:rPr>
        <w:rFonts w:ascii="宋体" w:hAnsi="宋体"/>
      </w:rPr>
      <w:fldChar w:fldCharType="begin"/>
    </w:r>
    <w:r>
      <w:rPr>
        <w:rStyle w:val="936"/>
        <w:rFonts w:ascii="宋体" w:hAnsi="宋体"/>
      </w:rPr>
      <w:instrText xml:space="preserve">PAGE  </w:instrText>
    </w:r>
    <w:r>
      <w:rPr>
        <w:rFonts w:ascii="宋体" w:hAnsi="宋体"/>
      </w:rPr>
      <w:fldChar w:fldCharType="separate"/>
    </w:r>
    <w:r>
      <w:rPr>
        <w:rStyle w:val="936"/>
        <w:rFonts w:ascii="宋体" w:hAnsi="宋体"/>
      </w:rPr>
      <w:t xml:space="preserve">４２</w:t>
    </w:r>
    <w:r>
      <w:rPr>
        <w:rFonts w:ascii="宋体" w:hAnsi="宋体"/>
      </w:rPr>
      <w:fldChar w:fldCharType="end"/>
    </w:r>
    <w:r>
      <w:rPr>
        <w:rStyle w:val="936"/>
        <w:rFonts w:ascii="宋体" w:hAnsi="宋体"/>
      </w:rPr>
    </w:r>
    <w:r/>
  </w:p>
  <w:p>
    <w:pPr>
      <w:pStyle w:val="911"/>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6"/>
      </w:rPr>
      <w:framePr w:wrap="around" w:vAnchor="text" w:hAnchor="margin" w:xAlign="center" w:y="1"/>
    </w:pPr>
    <w:r>
      <w:fldChar w:fldCharType="begin"/>
    </w:r>
    <w:r>
      <w:rPr>
        <w:rStyle w:val="936"/>
      </w:rPr>
      <w:instrText xml:space="preserve">PAGE  </w:instrText>
    </w:r>
    <w:r>
      <w:fldChar w:fldCharType="separate"/>
    </w:r>
    <w:r>
      <w:rPr>
        <w:rStyle w:val="936"/>
      </w:rPr>
      <w:t xml:space="preserve">1</w:t>
    </w:r>
    <w:r>
      <w:fldChar w:fldCharType="end"/>
    </w:r>
    <w:r>
      <w:rPr>
        <w:rStyle w:val="936"/>
      </w:rPr>
    </w:r>
    <w:r/>
  </w:p>
  <w:p>
    <w:pPr>
      <w:pStyle w:val="9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
    <w:multiLevelType w:val="hybridMultilevel"/>
    <w:lvl w:ilvl="0">
      <w:start w:val="1"/>
      <w:numFmt w:val="upperLetter"/>
      <w:pStyle w:val="944"/>
      <w:isLgl w:val="false"/>
      <w:suff w:val="tab"/>
      <w:lvlText w:val="附录%1."/>
      <w:lvlJc w:val="left"/>
      <w:pPr>
        <w:pStyle w:val="8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1"/>
      <w:isLgl w:val="false"/>
      <w:suff w:val="tab"/>
      <w:lvlText w:val="%1."/>
      <w:lvlJc w:val="left"/>
      <w:pPr>
        <w:pStyle w:val="860"/>
        <w:ind w:left="709" w:hanging="709"/>
        <w:tabs>
          <w:tab w:val="num" w:pos="709" w:leader="none"/>
        </w:tabs>
      </w:pPr>
      <w:rPr>
        <w:rFonts w:hint="eastAsia"/>
      </w:rPr>
    </w:lvl>
    <w:lvl w:ilvl="1">
      <w:start w:val="1"/>
      <w:numFmt w:val="decimal"/>
      <w:isLgl w:val="false"/>
      <w:suff w:val="tab"/>
      <w:lvlText w:val="%1.%2"/>
      <w:lvlJc w:val="left"/>
      <w:pPr>
        <w:pStyle w:val="860"/>
        <w:ind w:left="709" w:hanging="709"/>
        <w:tabs>
          <w:tab w:val="num" w:pos="709" w:leader="none"/>
        </w:tabs>
      </w:pPr>
      <w:rPr>
        <w:rFonts w:hint="eastAsia"/>
      </w:rPr>
    </w:lvl>
    <w:lvl w:ilvl="2">
      <w:start w:val="1"/>
      <w:numFmt w:val="decimal"/>
      <w:isLgl w:val="false"/>
      <w:suff w:val="tab"/>
      <w:lvlText w:val="%1.%2.%3."/>
      <w:lvlJc w:val="left"/>
      <w:pPr>
        <w:pStyle w:val="860"/>
        <w:ind w:left="425" w:hanging="425"/>
        <w:tabs>
          <w:tab w:val="num" w:pos="425" w:leader="none"/>
        </w:tabs>
      </w:pPr>
      <w:rPr>
        <w:rFonts w:hint="eastAsia"/>
      </w:rPr>
    </w:lvl>
    <w:lvl w:ilvl="3">
      <w:start w:val="1"/>
      <w:numFmt w:val="decimal"/>
      <w:isLgl w:val="false"/>
      <w:suff w:val="tab"/>
      <w:lvlText w:val="%1.%2.%3.%4."/>
      <w:lvlJc w:val="left"/>
      <w:pPr>
        <w:pStyle w:val="860"/>
        <w:ind w:left="851" w:hanging="851"/>
        <w:tabs>
          <w:tab w:val="num" w:pos="851" w:leader="none"/>
        </w:tabs>
      </w:pPr>
      <w:rPr>
        <w:rFonts w:hint="eastAsia"/>
      </w:rPr>
    </w:lvl>
    <w:lvl w:ilvl="4">
      <w:start w:val="1"/>
      <w:numFmt w:val="decimal"/>
      <w:isLgl w:val="false"/>
      <w:suff w:val="tab"/>
      <w:lvlText w:val="%1.%2.%3.%4.%5."/>
      <w:lvlJc w:val="left"/>
      <w:pPr>
        <w:pStyle w:val="860"/>
        <w:ind w:left="992" w:hanging="992"/>
        <w:tabs>
          <w:tab w:val="num" w:pos="992" w:leader="none"/>
        </w:tabs>
      </w:pPr>
      <w:rPr>
        <w:rFonts w:hint="eastAsia"/>
      </w:rPr>
    </w:lvl>
    <w:lvl w:ilvl="5">
      <w:start w:val="1"/>
      <w:numFmt w:val="decimal"/>
      <w:isLgl w:val="false"/>
      <w:suff w:val="tab"/>
      <w:lvlText w:val="%1.%2.%3.%4.%5.%6."/>
      <w:lvlJc w:val="left"/>
      <w:pPr>
        <w:pStyle w:val="860"/>
        <w:ind w:left="1134" w:hanging="1134"/>
        <w:tabs>
          <w:tab w:val="num" w:pos="1134" w:leader="none"/>
        </w:tabs>
      </w:pPr>
      <w:rPr>
        <w:rFonts w:hint="eastAsia"/>
      </w:rPr>
    </w:lvl>
    <w:lvl w:ilvl="6">
      <w:start w:val="1"/>
      <w:numFmt w:val="decimal"/>
      <w:isLgl w:val="false"/>
      <w:suff w:val="tab"/>
      <w:lvlText w:val="%1.%2.%3.%4.%5.%6.%7."/>
      <w:lvlJc w:val="left"/>
      <w:pPr>
        <w:pStyle w:val="860"/>
        <w:ind w:left="1276" w:hanging="1276"/>
        <w:tabs>
          <w:tab w:val="num" w:pos="1276" w:leader="none"/>
        </w:tabs>
      </w:pPr>
      <w:rPr>
        <w:rFonts w:hint="eastAsia"/>
      </w:rPr>
    </w:lvl>
    <w:lvl w:ilvl="7">
      <w:start w:val="1"/>
      <w:numFmt w:val="decimal"/>
      <w:isLgl w:val="false"/>
      <w:suff w:val="tab"/>
      <w:lvlText w:val="%1.%2.%3.%4.%5.%6.%7.%8."/>
      <w:lvlJc w:val="left"/>
      <w:pPr>
        <w:pStyle w:val="860"/>
        <w:ind w:left="1418" w:hanging="1418"/>
        <w:tabs>
          <w:tab w:val="num" w:pos="1418" w:leader="none"/>
        </w:tabs>
      </w:pPr>
      <w:rPr>
        <w:rFonts w:hint="eastAsia"/>
      </w:rPr>
    </w:lvl>
    <w:lvl w:ilvl="8">
      <w:start w:val="1"/>
      <w:numFmt w:val="decimal"/>
      <w:isLgl w:val="false"/>
      <w:suff w:val="tab"/>
      <w:lvlText w:val="%1.%2.%3.%4.%5.%6.%7.%8.%9."/>
      <w:lvlJc w:val="left"/>
      <w:pPr>
        <w:pStyle w:val="86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0"/>
        <w:ind w:left="0" w:firstLine="0"/>
      </w:pPr>
      <w:rPr>
        <w:rFonts w:hint="eastAsia"/>
      </w:rPr>
    </w:lvl>
    <w:lvl w:ilvl="1">
      <w:start w:val="1"/>
      <w:numFmt w:val="decimal"/>
      <w:isLgl w:val="false"/>
      <w:suff w:val="nothing"/>
      <w:lvlText w:val="%2、"/>
      <w:lvlJc w:val="left"/>
      <w:pPr>
        <w:pStyle w:val="860"/>
        <w:ind w:left="0" w:firstLine="0"/>
      </w:pPr>
      <w:rPr>
        <w:rFonts w:hint="eastAsia"/>
      </w:rPr>
    </w:lvl>
    <w:lvl w:ilvl="2">
      <w:start w:val="1"/>
      <w:numFmt w:val="decimal"/>
      <w:isLgl w:val="false"/>
      <w:suff w:val="nothing"/>
      <w:lvlText w:val="%2.%3 "/>
      <w:lvlJc w:val="left"/>
      <w:pPr>
        <w:pStyle w:val="860"/>
        <w:ind w:left="0" w:firstLine="0"/>
      </w:pPr>
      <w:rPr>
        <w:rFonts w:hint="eastAsia"/>
      </w:rPr>
    </w:lvl>
    <w:lvl w:ilvl="3">
      <w:start w:val="1"/>
      <w:numFmt w:val="decimal"/>
      <w:isLgl w:val="false"/>
      <w:suff w:val="nothing"/>
      <w:lvlText w:val="%2.%3.%4 "/>
      <w:lvlJc w:val="left"/>
      <w:pPr>
        <w:pStyle w:val="860"/>
        <w:ind w:left="0" w:firstLine="0"/>
      </w:pPr>
      <w:rPr>
        <w:rFonts w:hint="eastAsia"/>
      </w:rPr>
    </w:lvl>
    <w:lvl w:ilvl="4">
      <w:start w:val="1"/>
      <w:numFmt w:val="decimal"/>
      <w:isLgl w:val="false"/>
      <w:suff w:val="nothing"/>
      <w:lvlText w:val="%2.%3.%4.%5 "/>
      <w:lvlJc w:val="left"/>
      <w:pPr>
        <w:pStyle w:val="860"/>
        <w:ind w:left="0" w:firstLine="0"/>
      </w:pPr>
      <w:rPr>
        <w:rFonts w:hint="eastAsia"/>
      </w:rPr>
    </w:lvl>
    <w:lvl w:ilvl="5">
      <w:start w:val="1"/>
      <w:numFmt w:val="decimal"/>
      <w:pStyle w:val="866"/>
      <w:isLgl w:val="false"/>
      <w:suff w:val="nothing"/>
      <w:lvlText w:val=""/>
      <w:lvlJc w:val="left"/>
      <w:pPr>
        <w:pStyle w:val="860"/>
        <w:ind w:left="0" w:firstLine="0"/>
      </w:pPr>
      <w:rPr>
        <w:rFonts w:hint="eastAsia"/>
      </w:rPr>
    </w:lvl>
    <w:lvl w:ilvl="6">
      <w:start w:val="1"/>
      <w:numFmt w:val="decimal"/>
      <w:pStyle w:val="867"/>
      <w:isLgl w:val="false"/>
      <w:suff w:val="nothing"/>
      <w:lvlText w:val=""/>
      <w:lvlJc w:val="left"/>
      <w:pPr>
        <w:pStyle w:val="860"/>
        <w:ind w:left="0" w:firstLine="0"/>
      </w:pPr>
      <w:rPr>
        <w:rFonts w:hint="eastAsia"/>
      </w:rPr>
    </w:lvl>
    <w:lvl w:ilvl="7">
      <w:start w:val="1"/>
      <w:numFmt w:val="decimal"/>
      <w:pStyle w:val="868"/>
      <w:isLgl w:val="false"/>
      <w:suff w:val="nothing"/>
      <w:lvlText w:val=""/>
      <w:lvlJc w:val="left"/>
      <w:pPr>
        <w:pStyle w:val="860"/>
        <w:ind w:left="0" w:firstLine="0"/>
      </w:pPr>
      <w:rPr>
        <w:rFonts w:hint="eastAsia"/>
      </w:rPr>
    </w:lvl>
    <w:lvl w:ilvl="8">
      <w:start w:val="1"/>
      <w:numFmt w:val="decimal"/>
      <w:pStyle w:val="869"/>
      <w:isLgl w:val="false"/>
      <w:suff w:val="nothing"/>
      <w:lvlText w:val=""/>
      <w:lvlJc w:val="left"/>
      <w:pPr>
        <w:pStyle w:val="860"/>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0"/>
    <w:next w:val="860"/>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0"/>
    <w:next w:val="860"/>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0"/>
    <w:next w:val="860"/>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0"/>
    <w:next w:val="860"/>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0"/>
    <w:next w:val="860"/>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0"/>
    <w:next w:val="860"/>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0"/>
    <w:next w:val="860"/>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0"/>
    <w:next w:val="860"/>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0"/>
    <w:next w:val="860"/>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0"/>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0"/>
    <w:next w:val="860"/>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0"/>
    <w:next w:val="860"/>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0"/>
    <w:next w:val="860"/>
    <w:link w:val="716"/>
    <w:uiPriority w:val="29"/>
    <w:qFormat/>
    <w:pPr>
      <w:ind w:left="720" w:right="720"/>
    </w:pPr>
    <w:rPr>
      <w:i/>
    </w:rPr>
  </w:style>
  <w:style w:type="character" w:styleId="716">
    <w:name w:val="Quote Char"/>
    <w:link w:val="715"/>
    <w:uiPriority w:val="29"/>
    <w:rPr>
      <w:i/>
    </w:rPr>
  </w:style>
  <w:style w:type="paragraph" w:styleId="717">
    <w:name w:val="Intense Quote"/>
    <w:basedOn w:val="860"/>
    <w:next w:val="860"/>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0"/>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0"/>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0"/>
    <w:next w:val="860"/>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0"/>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0"/>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73"/>
    <w:link w:val="860"/>
    <w:qFormat/>
    <w:pPr>
      <w:jc w:val="both"/>
      <w:widowControl w:val="off"/>
    </w:pPr>
    <w:rPr>
      <w:sz w:val="21"/>
      <w:szCs w:val="22"/>
      <w:lang w:val="en-US" w:eastAsia="zh-CN" w:bidi="ar-SA"/>
    </w:rPr>
  </w:style>
  <w:style w:type="paragraph" w:styleId="861">
    <w:name w:val="标题 1"/>
    <w:basedOn w:val="860"/>
    <w:next w:val="860"/>
    <w:link w:val="875"/>
    <w:qFormat/>
    <w:pPr>
      <w:jc w:val="center"/>
      <w:keepNext/>
      <w:outlineLvl w:val="0"/>
    </w:pPr>
    <w:rPr>
      <w:rFonts w:ascii="楷体_GB2312" w:hAnsi="Times New Roman" w:eastAsia="楷体_GB2312" w:cs="Times New Roman"/>
      <w:sz w:val="28"/>
      <w:szCs w:val="28"/>
    </w:rPr>
  </w:style>
  <w:style w:type="paragraph" w:styleId="862">
    <w:name w:val="标题 2"/>
    <w:basedOn w:val="860"/>
    <w:next w:val="877"/>
    <w:link w:val="876"/>
    <w:qFormat/>
    <w:pPr>
      <w:jc w:val="center"/>
      <w:keepLines/>
      <w:keepNext/>
      <w:spacing w:before="260" w:after="260" w:line="416" w:lineRule="auto"/>
      <w:outlineLvl w:val="1"/>
    </w:pPr>
    <w:rPr>
      <w:rFonts w:ascii="Arial" w:hAnsi="Arial" w:eastAsia="幼圆" w:cs="Arial"/>
      <w:b/>
      <w:bCs/>
      <w:sz w:val="44"/>
      <w:szCs w:val="44"/>
    </w:rPr>
  </w:style>
  <w:style w:type="paragraph" w:styleId="863">
    <w:name w:val="标题 3"/>
    <w:basedOn w:val="860"/>
    <w:next w:val="877"/>
    <w:link w:val="879"/>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4">
    <w:name w:val="标题 4"/>
    <w:basedOn w:val="860"/>
    <w:next w:val="877"/>
    <w:link w:val="880"/>
    <w:qFormat/>
    <w:pPr>
      <w:keepLines/>
      <w:keepNext/>
      <w:spacing w:before="280" w:after="290" w:line="376" w:lineRule="auto"/>
      <w:outlineLvl w:val="3"/>
    </w:pPr>
    <w:rPr>
      <w:rFonts w:ascii="Arial" w:hAnsi="Arial" w:eastAsia="黑体" w:cs="Arial"/>
      <w:b/>
      <w:bCs/>
      <w:sz w:val="28"/>
      <w:szCs w:val="28"/>
    </w:rPr>
  </w:style>
  <w:style w:type="paragraph" w:styleId="865">
    <w:name w:val="标题 5"/>
    <w:basedOn w:val="860"/>
    <w:next w:val="877"/>
    <w:link w:val="881"/>
    <w:qFormat/>
    <w:pPr>
      <w:keepNext/>
      <w:outlineLvl w:val="4"/>
    </w:pPr>
    <w:rPr>
      <w:rFonts w:ascii="宋体" w:hAnsi="Times New Roman" w:eastAsia="宋体" w:cs="Times New Roman"/>
      <w:color w:val="000000"/>
      <w:sz w:val="28"/>
      <w:szCs w:val="28"/>
    </w:rPr>
  </w:style>
  <w:style w:type="paragraph" w:styleId="866">
    <w:name w:val="标题 6"/>
    <w:basedOn w:val="860"/>
    <w:next w:val="860"/>
    <w:link w:val="88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7">
    <w:name w:val="标题 7"/>
    <w:basedOn w:val="860"/>
    <w:next w:val="860"/>
    <w:link w:val="88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8">
    <w:name w:val="标题 8"/>
    <w:basedOn w:val="860"/>
    <w:next w:val="860"/>
    <w:link w:val="88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9">
    <w:name w:val="标题 9"/>
    <w:basedOn w:val="860"/>
    <w:next w:val="860"/>
    <w:link w:val="885"/>
    <w:qFormat/>
    <w:pPr>
      <w:numPr>
        <w:ilvl w:val="8"/>
        <w:numId w:val="1"/>
      </w:numPr>
      <w:keepLines/>
      <w:keepNext/>
      <w:spacing w:before="240" w:after="64" w:line="320" w:lineRule="auto"/>
      <w:outlineLvl w:val="8"/>
    </w:pPr>
    <w:rPr>
      <w:rFonts w:ascii="Arial" w:hAnsi="Arial" w:eastAsia="黑体" w:cs="Times New Roman"/>
      <w:szCs w:val="21"/>
    </w:rPr>
  </w:style>
  <w:style w:type="character" w:styleId="870">
    <w:name w:val="默认段落字体"/>
    <w:next w:val="870"/>
    <w:link w:val="860"/>
    <w:uiPriority w:val="1"/>
    <w:unhideWhenUsed/>
  </w:style>
  <w:style w:type="table" w:styleId="871">
    <w:name w:val="普通表格"/>
    <w:next w:val="871"/>
    <w:link w:val="860"/>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872">
    <w:name w:val="无列表"/>
    <w:next w:val="872"/>
    <w:link w:val="860"/>
    <w:uiPriority w:val="99"/>
    <w:semiHidden/>
    <w:unhideWhenUsed/>
  </w:style>
  <w:style w:type="paragraph" w:styleId="873">
    <w:name w:val="正文首行缩进 21"/>
    <w:basedOn w:val="874"/>
    <w:next w:val="873"/>
    <w:link w:val="860"/>
    <w:qFormat/>
    <w:pPr>
      <w:ind w:left="0" w:firstLine="420"/>
      <w:spacing w:after="0" w:line="360" w:lineRule="auto"/>
    </w:pPr>
    <w:rPr>
      <w:rFonts w:ascii="宋体" w:hAnsi="宋体"/>
      <w:sz w:val="20"/>
      <w:szCs w:val="20"/>
      <w:lang w:val="en-US" w:eastAsia="en-US"/>
    </w:rPr>
  </w:style>
  <w:style w:type="paragraph" w:styleId="874">
    <w:name w:val="正文文本缩进1"/>
    <w:basedOn w:val="860"/>
    <w:next w:val="873"/>
    <w:link w:val="860"/>
    <w:unhideWhenUsed/>
    <w:qFormat/>
    <w:pPr>
      <w:ind w:left="420"/>
      <w:spacing w:after="120"/>
    </w:pPr>
  </w:style>
  <w:style w:type="character" w:styleId="875">
    <w:name w:val="标题 1 字符"/>
    <w:next w:val="875"/>
    <w:link w:val="861"/>
    <w:rPr>
      <w:rFonts w:ascii="楷体_GB2312" w:hAnsi="Times New Roman" w:eastAsia="楷体_GB2312" w:cs="Times New Roman"/>
      <w:sz w:val="28"/>
      <w:szCs w:val="28"/>
    </w:rPr>
  </w:style>
  <w:style w:type="character" w:styleId="876">
    <w:name w:val="标题 2 字符"/>
    <w:next w:val="876"/>
    <w:link w:val="862"/>
    <w:rPr>
      <w:rFonts w:ascii="Arial" w:hAnsi="Arial" w:eastAsia="幼圆" w:cs="Arial"/>
      <w:b/>
      <w:bCs/>
      <w:sz w:val="44"/>
      <w:szCs w:val="44"/>
    </w:rPr>
  </w:style>
  <w:style w:type="paragraph" w:styleId="877">
    <w:name w:val="正文缩进"/>
    <w:basedOn w:val="860"/>
    <w:next w:val="877"/>
    <w:link w:val="878"/>
    <w:pPr>
      <w:ind w:firstLine="420"/>
    </w:pPr>
    <w:rPr>
      <w:szCs w:val="21"/>
    </w:rPr>
  </w:style>
  <w:style w:type="character" w:styleId="878">
    <w:name w:val="正文缩进 字符"/>
    <w:next w:val="878"/>
    <w:link w:val="877"/>
    <w:rPr>
      <w:szCs w:val="21"/>
    </w:rPr>
  </w:style>
  <w:style w:type="character" w:styleId="879">
    <w:name w:val="标题 3 字符"/>
    <w:next w:val="879"/>
    <w:link w:val="863"/>
    <w:rPr>
      <w:rFonts w:ascii="Times New Roman" w:hAnsi="Times New Roman" w:eastAsia="宋体" w:cs="Times New Roman"/>
      <w:b/>
      <w:bCs/>
      <w:sz w:val="32"/>
      <w:szCs w:val="32"/>
    </w:rPr>
  </w:style>
  <w:style w:type="character" w:styleId="880">
    <w:name w:val="标题 4 字符"/>
    <w:next w:val="880"/>
    <w:link w:val="864"/>
    <w:rPr>
      <w:rFonts w:ascii="Arial" w:hAnsi="Arial" w:eastAsia="黑体" w:cs="Arial"/>
      <w:b/>
      <w:bCs/>
      <w:sz w:val="28"/>
      <w:szCs w:val="28"/>
    </w:rPr>
  </w:style>
  <w:style w:type="character" w:styleId="881">
    <w:name w:val="标题 5 字符"/>
    <w:next w:val="881"/>
    <w:link w:val="865"/>
    <w:rPr>
      <w:rFonts w:ascii="宋体" w:hAnsi="Times New Roman" w:eastAsia="宋体" w:cs="Times New Roman"/>
      <w:color w:val="000000"/>
      <w:sz w:val="28"/>
      <w:szCs w:val="28"/>
    </w:rPr>
  </w:style>
  <w:style w:type="character" w:styleId="882">
    <w:name w:val="标题 6 字符"/>
    <w:next w:val="882"/>
    <w:link w:val="866"/>
    <w:rPr>
      <w:rFonts w:ascii="Arial" w:hAnsi="Arial" w:eastAsia="黑体" w:cs="Times New Roman"/>
      <w:b/>
      <w:bCs/>
      <w:sz w:val="24"/>
      <w:szCs w:val="24"/>
    </w:rPr>
  </w:style>
  <w:style w:type="character" w:styleId="883">
    <w:name w:val="标题 7 字符"/>
    <w:next w:val="883"/>
    <w:link w:val="867"/>
    <w:rPr>
      <w:rFonts w:ascii="Times New Roman" w:hAnsi="Times New Roman" w:eastAsia="宋体" w:cs="Times New Roman"/>
      <w:b/>
      <w:bCs/>
      <w:sz w:val="24"/>
      <w:szCs w:val="24"/>
    </w:rPr>
  </w:style>
  <w:style w:type="character" w:styleId="884">
    <w:name w:val="标题 8 字符"/>
    <w:next w:val="884"/>
    <w:link w:val="868"/>
    <w:rPr>
      <w:rFonts w:ascii="Arial" w:hAnsi="Arial" w:eastAsia="黑体" w:cs="Times New Roman"/>
      <w:sz w:val="24"/>
      <w:szCs w:val="24"/>
    </w:rPr>
  </w:style>
  <w:style w:type="character" w:styleId="885">
    <w:name w:val="标题 9 字符"/>
    <w:next w:val="885"/>
    <w:link w:val="869"/>
    <w:rPr>
      <w:rFonts w:ascii="Arial" w:hAnsi="Arial" w:eastAsia="黑体" w:cs="Times New Roman"/>
      <w:szCs w:val="21"/>
    </w:rPr>
  </w:style>
  <w:style w:type="paragraph" w:styleId="886">
    <w:name w:val="列表 3"/>
    <w:basedOn w:val="860"/>
    <w:next w:val="886"/>
    <w:link w:val="860"/>
    <w:pPr>
      <w:ind w:left="100" w:hanging="200"/>
    </w:pPr>
    <w:rPr>
      <w:rFonts w:ascii="Times New Roman" w:hAnsi="Times New Roman" w:eastAsia="宋体" w:cs="Times New Roman"/>
      <w:szCs w:val="21"/>
    </w:rPr>
  </w:style>
  <w:style w:type="paragraph" w:styleId="887">
    <w:name w:val="toc 7"/>
    <w:basedOn w:val="860"/>
    <w:next w:val="860"/>
    <w:link w:val="860"/>
    <w:semiHidden/>
    <w:pPr>
      <w:ind w:left="1260"/>
      <w:jc w:val="left"/>
    </w:pPr>
    <w:rPr>
      <w:rFonts w:ascii="Times New Roman" w:hAnsi="Times New Roman" w:eastAsia="宋体" w:cs="Times New Roman"/>
      <w:szCs w:val="21"/>
    </w:rPr>
  </w:style>
  <w:style w:type="paragraph" w:styleId="888">
    <w:name w:val="文档结构图"/>
    <w:basedOn w:val="860"/>
    <w:next w:val="888"/>
    <w:link w:val="889"/>
    <w:semiHidden/>
    <w:pPr>
      <w:shd w:val="clear" w:color="auto" w:fill="000080"/>
    </w:pPr>
    <w:rPr>
      <w:rFonts w:ascii="Times New Roman" w:hAnsi="Times New Roman" w:eastAsia="宋体" w:cs="Times New Roman"/>
      <w:szCs w:val="21"/>
    </w:rPr>
  </w:style>
  <w:style w:type="character" w:styleId="889">
    <w:name w:val="文档结构图 字符"/>
    <w:next w:val="889"/>
    <w:link w:val="888"/>
    <w:semiHidden/>
    <w:rPr>
      <w:rFonts w:ascii="Times New Roman" w:hAnsi="Times New Roman" w:eastAsia="宋体" w:cs="Times New Roman"/>
      <w:szCs w:val="21"/>
      <w:shd w:val="clear" w:color="auto" w:fill="000080"/>
    </w:rPr>
  </w:style>
  <w:style w:type="paragraph" w:styleId="890">
    <w:name w:val="批注文字"/>
    <w:basedOn w:val="860"/>
    <w:next w:val="890"/>
    <w:link w:val="891"/>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891">
    <w:name w:val="批注文字 字符"/>
    <w:next w:val="891"/>
    <w:link w:val="890"/>
    <w:rPr>
      <w:rFonts w:ascii="Calibri" w:hAnsi="Calibri" w:eastAsia="宋体" w:cs="Times New Roman"/>
      <w:sz w:val="21"/>
      <w:szCs w:val="24"/>
    </w:rPr>
  </w:style>
  <w:style w:type="paragraph" w:styleId="892">
    <w:name w:val="正文文本 3"/>
    <w:basedOn w:val="860"/>
    <w:next w:val="892"/>
    <w:link w:val="893"/>
    <w:rPr>
      <w:rFonts w:ascii="仿宋_GB2312" w:hAnsi="Arial" w:eastAsia="仿宋_GB2312" w:cs="Times New Roman"/>
      <w:sz w:val="32"/>
      <w:szCs w:val="32"/>
    </w:rPr>
  </w:style>
  <w:style w:type="character" w:styleId="893">
    <w:name w:val="正文文本 3 字符"/>
    <w:next w:val="893"/>
    <w:link w:val="892"/>
    <w:rPr>
      <w:rFonts w:ascii="仿宋_GB2312" w:hAnsi="Arial" w:eastAsia="仿宋_GB2312" w:cs="Times New Roman"/>
      <w:sz w:val="32"/>
      <w:szCs w:val="32"/>
    </w:rPr>
  </w:style>
  <w:style w:type="paragraph" w:styleId="894">
    <w:name w:val="正文文本"/>
    <w:basedOn w:val="860"/>
    <w:next w:val="894"/>
    <w:link w:val="895"/>
    <w:rPr>
      <w:rFonts w:ascii="楷体_GB2312" w:hAnsi="Arial" w:eastAsia="楷体_GB2312" w:cs="Times New Roman"/>
      <w:sz w:val="28"/>
      <w:szCs w:val="28"/>
    </w:rPr>
  </w:style>
  <w:style w:type="character" w:styleId="895">
    <w:name w:val="正文文本 字符"/>
    <w:next w:val="895"/>
    <w:link w:val="894"/>
    <w:rPr>
      <w:rFonts w:ascii="楷体_GB2312" w:hAnsi="Arial" w:eastAsia="楷体_GB2312" w:cs="Times New Roman"/>
      <w:sz w:val="28"/>
      <w:szCs w:val="28"/>
    </w:rPr>
  </w:style>
  <w:style w:type="paragraph" w:styleId="896">
    <w:name w:val="正文文本缩进"/>
    <w:basedOn w:val="860"/>
    <w:next w:val="898"/>
    <w:link w:val="897"/>
    <w:unhideWhenUsed/>
    <w:pPr>
      <w:ind w:left="420"/>
      <w:spacing w:after="120"/>
    </w:pPr>
  </w:style>
  <w:style w:type="character" w:styleId="897">
    <w:name w:val="正文文本缩进 字符"/>
    <w:next w:val="897"/>
    <w:link w:val="896"/>
    <w:uiPriority w:val="99"/>
    <w:semiHidden/>
  </w:style>
  <w:style w:type="paragraph" w:styleId="898">
    <w:name w:val="寄信人地址"/>
    <w:basedOn w:val="860"/>
    <w:next w:val="898"/>
    <w:link w:val="860"/>
    <w:qFormat/>
    <w:rPr>
      <w:rFonts w:ascii="Arial" w:hAnsi="Arial" w:eastAsia="宋体" w:cs="宋体"/>
    </w:rPr>
  </w:style>
  <w:style w:type="paragraph" w:styleId="899">
    <w:name w:val="列表 2"/>
    <w:basedOn w:val="860"/>
    <w:next w:val="899"/>
    <w:link w:val="860"/>
    <w:pPr>
      <w:ind w:left="100" w:hanging="200"/>
    </w:pPr>
    <w:rPr>
      <w:rFonts w:ascii="Times New Roman" w:hAnsi="Times New Roman" w:eastAsia="宋体" w:cs="Times New Roman"/>
      <w:szCs w:val="21"/>
    </w:rPr>
  </w:style>
  <w:style w:type="paragraph" w:styleId="900">
    <w:name w:val="toc 5"/>
    <w:basedOn w:val="860"/>
    <w:next w:val="860"/>
    <w:link w:val="860"/>
    <w:semiHidden/>
    <w:pPr>
      <w:ind w:left="840"/>
      <w:jc w:val="left"/>
    </w:pPr>
    <w:rPr>
      <w:rFonts w:ascii="Times New Roman" w:hAnsi="Times New Roman" w:eastAsia="宋体" w:cs="Times New Roman"/>
      <w:szCs w:val="21"/>
    </w:rPr>
  </w:style>
  <w:style w:type="paragraph" w:styleId="901">
    <w:name w:val="toc 3"/>
    <w:basedOn w:val="860"/>
    <w:next w:val="860"/>
    <w:link w:val="860"/>
    <w:semiHidden/>
    <w:pPr>
      <w:ind w:left="420"/>
      <w:jc w:val="left"/>
    </w:pPr>
    <w:rPr>
      <w:rFonts w:ascii="Times New Roman" w:hAnsi="Times New Roman" w:eastAsia="宋体" w:cs="Times New Roman"/>
      <w:i/>
      <w:iCs/>
      <w:szCs w:val="24"/>
    </w:rPr>
  </w:style>
  <w:style w:type="paragraph" w:styleId="902">
    <w:name w:val="纯文本"/>
    <w:basedOn w:val="860"/>
    <w:next w:val="902"/>
    <w:link w:val="903"/>
    <w:rPr>
      <w:rFonts w:ascii="宋体" w:hAnsi="Courier New" w:eastAsia="宋体" w:cs="Courier New"/>
      <w:szCs w:val="21"/>
    </w:rPr>
  </w:style>
  <w:style w:type="character" w:styleId="903">
    <w:name w:val="纯文本 字符"/>
    <w:next w:val="903"/>
    <w:link w:val="902"/>
    <w:rPr>
      <w:rFonts w:ascii="宋体" w:hAnsi="Courier New" w:eastAsia="宋体" w:cs="Courier New"/>
      <w:szCs w:val="21"/>
    </w:rPr>
  </w:style>
  <w:style w:type="paragraph" w:styleId="904">
    <w:name w:val="toc 8"/>
    <w:basedOn w:val="860"/>
    <w:next w:val="860"/>
    <w:link w:val="860"/>
    <w:semiHidden/>
    <w:pPr>
      <w:ind w:left="1470"/>
      <w:jc w:val="left"/>
    </w:pPr>
    <w:rPr>
      <w:rFonts w:ascii="Times New Roman" w:hAnsi="Times New Roman" w:eastAsia="宋体" w:cs="Times New Roman"/>
      <w:szCs w:val="21"/>
    </w:rPr>
  </w:style>
  <w:style w:type="paragraph" w:styleId="905">
    <w:name w:val="日期"/>
    <w:basedOn w:val="860"/>
    <w:next w:val="860"/>
    <w:link w:val="906"/>
    <w:rPr>
      <w:rFonts w:ascii="Times New Roman" w:hAnsi="Times New Roman" w:eastAsia="宋体" w:cs="Times New Roman"/>
      <w:sz w:val="24"/>
      <w:szCs w:val="24"/>
    </w:rPr>
  </w:style>
  <w:style w:type="character" w:styleId="906">
    <w:name w:val="日期 字符"/>
    <w:next w:val="906"/>
    <w:link w:val="905"/>
    <w:rPr>
      <w:rFonts w:ascii="Times New Roman" w:hAnsi="Times New Roman" w:eastAsia="宋体" w:cs="Times New Roman"/>
      <w:sz w:val="24"/>
      <w:szCs w:val="24"/>
    </w:rPr>
  </w:style>
  <w:style w:type="paragraph" w:styleId="907">
    <w:name w:val="正文文本缩进 2"/>
    <w:basedOn w:val="860"/>
    <w:next w:val="907"/>
    <w:link w:val="908"/>
    <w:pPr>
      <w:ind w:left="630" w:firstLine="645"/>
    </w:pPr>
    <w:rPr>
      <w:rFonts w:ascii="Arial" w:hAnsi="Arial" w:eastAsia="仿宋_GB2312" w:cs="Arial"/>
      <w:sz w:val="32"/>
      <w:szCs w:val="32"/>
    </w:rPr>
  </w:style>
  <w:style w:type="character" w:styleId="908">
    <w:name w:val="正文文本缩进 2 字符"/>
    <w:next w:val="908"/>
    <w:link w:val="907"/>
    <w:rPr>
      <w:rFonts w:ascii="Arial" w:hAnsi="Arial" w:eastAsia="仿宋_GB2312" w:cs="Arial"/>
      <w:sz w:val="32"/>
      <w:szCs w:val="32"/>
    </w:rPr>
  </w:style>
  <w:style w:type="paragraph" w:styleId="909">
    <w:name w:val="批注框文本"/>
    <w:basedOn w:val="860"/>
    <w:next w:val="909"/>
    <w:link w:val="910"/>
    <w:semiHidden/>
    <w:rPr>
      <w:rFonts w:ascii="Times New Roman" w:hAnsi="Times New Roman" w:eastAsia="宋体" w:cs="Times New Roman"/>
      <w:sz w:val="18"/>
      <w:szCs w:val="18"/>
    </w:rPr>
  </w:style>
  <w:style w:type="character" w:styleId="910">
    <w:name w:val="批注框文本 字符"/>
    <w:next w:val="910"/>
    <w:link w:val="909"/>
    <w:semiHidden/>
    <w:rPr>
      <w:rFonts w:ascii="Times New Roman" w:hAnsi="Times New Roman" w:eastAsia="宋体" w:cs="Times New Roman"/>
      <w:sz w:val="18"/>
      <w:szCs w:val="18"/>
    </w:rPr>
  </w:style>
  <w:style w:type="paragraph" w:styleId="911">
    <w:name w:val="页脚"/>
    <w:basedOn w:val="860"/>
    <w:next w:val="911"/>
    <w:link w:val="912"/>
    <w:pPr>
      <w:jc w:val="left"/>
      <w:tabs>
        <w:tab w:val="center" w:pos="4153" w:leader="none"/>
        <w:tab w:val="right" w:pos="8306" w:leader="none"/>
      </w:tabs>
    </w:pPr>
    <w:rPr>
      <w:rFonts w:ascii="Times New Roman" w:hAnsi="Times New Roman" w:eastAsia="宋体" w:cs="Times New Roman"/>
      <w:sz w:val="18"/>
      <w:szCs w:val="18"/>
    </w:rPr>
  </w:style>
  <w:style w:type="character" w:styleId="912">
    <w:name w:val="页脚 字符"/>
    <w:next w:val="912"/>
    <w:link w:val="911"/>
    <w:rPr>
      <w:rFonts w:ascii="Times New Roman" w:hAnsi="Times New Roman" w:eastAsia="宋体" w:cs="Times New Roman"/>
      <w:sz w:val="18"/>
      <w:szCs w:val="18"/>
    </w:rPr>
  </w:style>
  <w:style w:type="paragraph" w:styleId="913">
    <w:name w:val="页眉"/>
    <w:basedOn w:val="860"/>
    <w:next w:val="913"/>
    <w:link w:val="91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4">
    <w:name w:val="页眉 字符"/>
    <w:next w:val="914"/>
    <w:link w:val="913"/>
    <w:rPr>
      <w:rFonts w:ascii="Times New Roman" w:hAnsi="Times New Roman" w:eastAsia="宋体" w:cs="Times New Roman"/>
      <w:sz w:val="18"/>
      <w:szCs w:val="18"/>
    </w:rPr>
  </w:style>
  <w:style w:type="paragraph" w:styleId="915">
    <w:name w:val="toc 1"/>
    <w:basedOn w:val="860"/>
    <w:next w:val="860"/>
    <w:link w:val="86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16">
    <w:name w:val="toc 4"/>
    <w:basedOn w:val="860"/>
    <w:next w:val="860"/>
    <w:link w:val="860"/>
    <w:semiHidden/>
    <w:pPr>
      <w:ind w:left="630"/>
      <w:jc w:val="left"/>
    </w:pPr>
    <w:rPr>
      <w:rFonts w:ascii="Times New Roman" w:hAnsi="Times New Roman" w:eastAsia="宋体" w:cs="Times New Roman"/>
      <w:szCs w:val="21"/>
    </w:rPr>
  </w:style>
  <w:style w:type="paragraph" w:styleId="917">
    <w:name w:val="列表"/>
    <w:basedOn w:val="860"/>
    <w:next w:val="917"/>
    <w:link w:val="860"/>
    <w:pPr>
      <w:ind w:left="200" w:hanging="200"/>
    </w:pPr>
    <w:rPr>
      <w:rFonts w:ascii="Times New Roman" w:hAnsi="Times New Roman" w:eastAsia="宋体" w:cs="Times New Roman"/>
      <w:szCs w:val="21"/>
    </w:rPr>
  </w:style>
  <w:style w:type="paragraph" w:styleId="918">
    <w:name w:val="toc 6"/>
    <w:basedOn w:val="860"/>
    <w:next w:val="860"/>
    <w:link w:val="860"/>
    <w:semiHidden/>
    <w:pPr>
      <w:ind w:left="1050"/>
      <w:jc w:val="left"/>
    </w:pPr>
    <w:rPr>
      <w:rFonts w:ascii="Times New Roman" w:hAnsi="Times New Roman" w:eastAsia="宋体" w:cs="Times New Roman"/>
      <w:szCs w:val="21"/>
    </w:rPr>
  </w:style>
  <w:style w:type="paragraph" w:styleId="919">
    <w:name w:val="正文文本缩进 3"/>
    <w:basedOn w:val="860"/>
    <w:next w:val="919"/>
    <w:link w:val="920"/>
    <w:pPr>
      <w:ind w:left="645" w:firstLine="645"/>
    </w:pPr>
    <w:rPr>
      <w:rFonts w:ascii="Arial" w:hAnsi="Arial" w:eastAsia="仿宋_GB2312" w:cs="Arial"/>
      <w:color w:val="ffff00"/>
      <w:sz w:val="32"/>
      <w:szCs w:val="32"/>
    </w:rPr>
  </w:style>
  <w:style w:type="character" w:styleId="920">
    <w:name w:val="正文文本缩进 3 字符"/>
    <w:next w:val="920"/>
    <w:link w:val="919"/>
    <w:rPr>
      <w:rFonts w:ascii="Arial" w:hAnsi="Arial" w:eastAsia="仿宋_GB2312" w:cs="Arial"/>
      <w:color w:val="ffff00"/>
      <w:sz w:val="32"/>
      <w:szCs w:val="32"/>
    </w:rPr>
  </w:style>
  <w:style w:type="paragraph" w:styleId="921">
    <w:name w:val="图表目录"/>
    <w:basedOn w:val="860"/>
    <w:next w:val="860"/>
    <w:link w:val="860"/>
    <w:semiHidden/>
    <w:pPr>
      <w:ind w:left="840" w:hanging="420"/>
    </w:pPr>
    <w:rPr>
      <w:rFonts w:ascii="Times New Roman" w:hAnsi="Times New Roman" w:eastAsia="宋体" w:cs="Times New Roman"/>
      <w:szCs w:val="21"/>
    </w:rPr>
  </w:style>
  <w:style w:type="paragraph" w:styleId="922">
    <w:name w:val="toc 2"/>
    <w:basedOn w:val="860"/>
    <w:next w:val="860"/>
    <w:link w:val="860"/>
    <w:semiHidden/>
    <w:pPr>
      <w:ind w:left="210"/>
      <w:jc w:val="left"/>
    </w:pPr>
    <w:rPr>
      <w:rFonts w:ascii="Times New Roman" w:hAnsi="Times New Roman" w:eastAsia="宋体" w:cs="Times New Roman"/>
      <w:smallCaps/>
      <w:szCs w:val="24"/>
    </w:rPr>
  </w:style>
  <w:style w:type="paragraph" w:styleId="923">
    <w:name w:val="toc 9"/>
    <w:basedOn w:val="860"/>
    <w:next w:val="860"/>
    <w:link w:val="860"/>
    <w:semiHidden/>
    <w:pPr>
      <w:ind w:left="1680"/>
      <w:jc w:val="left"/>
    </w:pPr>
    <w:rPr>
      <w:rFonts w:ascii="Times New Roman" w:hAnsi="Times New Roman" w:eastAsia="宋体" w:cs="Times New Roman"/>
      <w:szCs w:val="21"/>
    </w:rPr>
  </w:style>
  <w:style w:type="paragraph" w:styleId="924">
    <w:name w:val="正文文本 2"/>
    <w:basedOn w:val="860"/>
    <w:next w:val="924"/>
    <w:link w:val="925"/>
    <w:pPr>
      <w:jc w:val="center"/>
      <w:widowControl/>
    </w:pPr>
    <w:rPr>
      <w:rFonts w:ascii="楷体_GB2312" w:hAnsi="Times New Roman" w:eastAsia="楷体_GB2312" w:cs="Times New Roman"/>
      <w:sz w:val="28"/>
      <w:szCs w:val="28"/>
    </w:rPr>
  </w:style>
  <w:style w:type="character" w:styleId="925">
    <w:name w:val="正文文本 2 字符"/>
    <w:next w:val="925"/>
    <w:link w:val="924"/>
    <w:rPr>
      <w:rFonts w:ascii="楷体_GB2312" w:hAnsi="Times New Roman" w:eastAsia="楷体_GB2312" w:cs="Times New Roman"/>
      <w:sz w:val="28"/>
      <w:szCs w:val="28"/>
    </w:rPr>
  </w:style>
  <w:style w:type="paragraph" w:styleId="926">
    <w:name w:val="普通(网站)"/>
    <w:basedOn w:val="860"/>
    <w:next w:val="926"/>
    <w:link w:val="860"/>
    <w:uiPriority w:val="99"/>
    <w:pPr>
      <w:jc w:val="left"/>
      <w:spacing w:before="100" w:beforeAutospacing="1" w:after="100" w:afterAutospacing="1"/>
      <w:widowControl/>
    </w:pPr>
    <w:rPr>
      <w:rFonts w:ascii="宋体" w:hAnsi="宋体" w:eastAsia="宋体" w:cs="宋体"/>
      <w:sz w:val="24"/>
      <w:szCs w:val="24"/>
    </w:rPr>
  </w:style>
  <w:style w:type="paragraph" w:styleId="927">
    <w:name w:val="索引 1"/>
    <w:basedOn w:val="860"/>
    <w:next w:val="860"/>
    <w:link w:val="860"/>
    <w:semiHidden/>
    <w:pPr>
      <w:spacing w:line="240" w:lineRule="atLeast"/>
    </w:pPr>
    <w:rPr>
      <w:rFonts w:ascii="Times New Roman" w:hAnsi="Times New Roman" w:eastAsia="宋体" w:cs="Times New Roman"/>
      <w:b/>
      <w:bCs/>
      <w:szCs w:val="21"/>
    </w:rPr>
  </w:style>
  <w:style w:type="paragraph" w:styleId="928">
    <w:name w:val="批注主题"/>
    <w:basedOn w:val="890"/>
    <w:next w:val="890"/>
    <w:link w:val="929"/>
    <w:semiHidden/>
    <w:rPr>
      <w:rFonts w:ascii="Times New Roman" w:hAnsi="Times New Roman" w:eastAsia="宋体" w:cs="Times New Roman"/>
      <w:b/>
      <w:bCs/>
      <w:szCs w:val="21"/>
    </w:rPr>
  </w:style>
  <w:style w:type="character" w:styleId="929">
    <w:name w:val="批注主题 字符"/>
    <w:next w:val="929"/>
    <w:link w:val="928"/>
    <w:semiHidden/>
    <w:rPr>
      <w:rFonts w:ascii="Times New Roman" w:hAnsi="Times New Roman" w:eastAsia="宋体" w:cs="Times New Roman"/>
      <w:b/>
      <w:bCs/>
      <w:szCs w:val="21"/>
    </w:rPr>
  </w:style>
  <w:style w:type="paragraph" w:styleId="930">
    <w:name w:val="正文文本首行缩进"/>
    <w:basedOn w:val="860"/>
    <w:next w:val="930"/>
    <w:link w:val="931"/>
    <w:pPr>
      <w:ind w:firstLine="200"/>
      <w:spacing w:line="360" w:lineRule="auto"/>
    </w:pPr>
    <w:rPr>
      <w:rFonts w:ascii="仿宋_GB2312" w:hAnsi="Times New Roman" w:eastAsia="仿宋_GB2312" w:cs="Times New Roman"/>
      <w:sz w:val="30"/>
      <w:szCs w:val="30"/>
    </w:rPr>
  </w:style>
  <w:style w:type="character" w:styleId="931">
    <w:name w:val="正文文本首行缩进 字符"/>
    <w:next w:val="931"/>
    <w:link w:val="930"/>
    <w:rPr>
      <w:rFonts w:ascii="仿宋_GB2312" w:hAnsi="Times New Roman" w:eastAsia="仿宋_GB2312" w:cs="Times New Roman"/>
      <w:sz w:val="30"/>
      <w:szCs w:val="30"/>
    </w:rPr>
  </w:style>
  <w:style w:type="paragraph" w:styleId="932">
    <w:name w:val="正文文本首行缩进 2"/>
    <w:basedOn w:val="896"/>
    <w:next w:val="860"/>
    <w:link w:val="933"/>
    <w:pPr>
      <w:ind w:left="0" w:firstLine="420"/>
      <w:spacing w:after="0" w:line="360" w:lineRule="auto"/>
    </w:pPr>
    <w:rPr>
      <w:rFonts w:ascii="宋体" w:hAnsi="宋体" w:eastAsia="宋体" w:cs="Times New Roman"/>
      <w:szCs w:val="20"/>
    </w:rPr>
  </w:style>
  <w:style w:type="character" w:styleId="933">
    <w:name w:val="正文文本首行缩进 2 字符"/>
    <w:next w:val="933"/>
    <w:link w:val="932"/>
    <w:rPr>
      <w:rFonts w:ascii="宋体" w:hAnsi="宋体" w:eastAsia="宋体" w:cs="Times New Roman"/>
      <w:szCs w:val="20"/>
    </w:rPr>
  </w:style>
  <w:style w:type="table" w:styleId="934">
    <w:name w:val="网格型"/>
    <w:basedOn w:val="871"/>
    <w:next w:val="934"/>
    <w:link w:val="860"/>
    <w:pPr>
      <w:jc w:val="both"/>
      <w:widowControl w:val="off"/>
    </w:pPr>
    <w:rPr>
      <w:rFonts w:ascii="Times New Roman" w:hAnsi="Times New Roman" w:eastAsia="宋体" w:cs="Times New Roman"/>
      <w:sz w:val="20"/>
      <w:szCs w:val="20"/>
    </w:rPr>
    <w:tblPr/>
  </w:style>
  <w:style w:type="character" w:styleId="935">
    <w:name w:val="要点"/>
    <w:next w:val="935"/>
    <w:link w:val="860"/>
    <w:qFormat/>
    <w:rPr>
      <w:b/>
      <w:bCs/>
    </w:rPr>
  </w:style>
  <w:style w:type="character" w:styleId="936">
    <w:name w:val="页码"/>
    <w:next w:val="936"/>
    <w:link w:val="860"/>
  </w:style>
  <w:style w:type="character" w:styleId="937">
    <w:name w:val="访问过的超链接"/>
    <w:next w:val="937"/>
    <w:link w:val="860"/>
    <w:rPr>
      <w:color w:val="800080"/>
      <w:u w:val="single"/>
    </w:rPr>
  </w:style>
  <w:style w:type="character" w:styleId="938">
    <w:name w:val="超链接"/>
    <w:next w:val="938"/>
    <w:link w:val="860"/>
    <w:rPr>
      <w:color w:val="0000ff"/>
      <w:u w:val="single"/>
    </w:rPr>
  </w:style>
  <w:style w:type="character" w:styleId="939">
    <w:name w:val="批注引用"/>
    <w:next w:val="939"/>
    <w:link w:val="860"/>
    <w:semiHidden/>
    <w:rPr>
      <w:sz w:val="21"/>
      <w:szCs w:val="21"/>
    </w:rPr>
  </w:style>
  <w:style w:type="character" w:styleId="940">
    <w:name w:val="批注文字 字符1"/>
    <w:next w:val="940"/>
    <w:link w:val="890"/>
    <w:uiPriority w:val="99"/>
    <w:semiHidden/>
  </w:style>
  <w:style w:type="paragraph" w:styleId="941">
    <w:name w:val="索引 41"/>
    <w:basedOn w:val="860"/>
    <w:next w:val="860"/>
    <w:link w:val="860"/>
    <w:semiHidden/>
    <w:qFormat/>
    <w:pPr>
      <w:ind w:left="1260"/>
    </w:pPr>
    <w:rPr>
      <w:rFonts w:ascii="Calibri" w:hAnsi="Calibri" w:eastAsia="Calibri" w:cs="宋体"/>
      <w:sz w:val="20"/>
      <w:lang w:val="zh-CN"/>
    </w:rPr>
  </w:style>
  <w:style w:type="character" w:styleId="942">
    <w:name w:val="font5 Char"/>
    <w:next w:val="942"/>
    <w:link w:val="860"/>
    <w:rPr>
      <w:rFonts w:ascii="宋体" w:hAnsi="宋体" w:eastAsia="宋体"/>
      <w:sz w:val="28"/>
      <w:szCs w:val="28"/>
      <w:lang w:val="en-US" w:eastAsia="zh-CN" w:bidi="ar-SA"/>
    </w:rPr>
  </w:style>
  <w:style w:type="character" w:styleId="943">
    <w:name w:val="二级目录 Char"/>
    <w:next w:val="943"/>
    <w:link w:val="944"/>
    <w:rPr>
      <w:b/>
      <w:sz w:val="30"/>
      <w:szCs w:val="28"/>
    </w:rPr>
  </w:style>
  <w:style w:type="paragraph" w:styleId="944">
    <w:name w:val="二级目录"/>
    <w:next w:val="860"/>
    <w:link w:val="943"/>
    <w:pPr>
      <w:numPr>
        <w:ilvl w:val="0"/>
        <w:numId w:val="2"/>
      </w:numPr>
      <w:tabs>
        <w:tab w:val="left" w:pos="907" w:leader="none"/>
        <w:tab w:val="left" w:pos="1145" w:leader="none"/>
      </w:tabs>
      <w:outlineLvl w:val="1"/>
    </w:pPr>
    <w:rPr>
      <w:b/>
      <w:sz w:val="30"/>
      <w:szCs w:val="28"/>
      <w:lang w:val="en-US" w:eastAsia="zh-CN" w:bidi="ar-SA"/>
    </w:rPr>
  </w:style>
  <w:style w:type="character" w:styleId="945">
    <w:name w:val="列出段落 Char,Bullet List Char,numbered Char,FooterText Char,List Paragraph1 Char,Paragraphe de liste1 Char"/>
    <w:next w:val="945"/>
    <w:link w:val="946"/>
    <w:rPr>
      <w:rFonts w:ascii="Calibri" w:hAnsi="Calibri"/>
      <w:sz w:val="24"/>
      <w:szCs w:val="24"/>
      <w:lang w:eastAsia="en-US" w:bidi="en-US"/>
    </w:rPr>
  </w:style>
  <w:style w:type="paragraph" w:styleId="946">
    <w:name w:val="列出段落1"/>
    <w:basedOn w:val="860"/>
    <w:next w:val="946"/>
    <w:link w:val="945"/>
    <w:qFormat/>
    <w:pPr>
      <w:contextualSpacing/>
      <w:ind w:left="720"/>
      <w:jc w:val="left"/>
      <w:widowControl/>
    </w:pPr>
    <w:rPr>
      <w:rFonts w:ascii="Calibri" w:hAnsi="Calibri"/>
      <w:sz w:val="24"/>
      <w:szCs w:val="24"/>
      <w:lang w:eastAsia="en-US" w:bidi="en-US"/>
    </w:rPr>
  </w:style>
  <w:style w:type="paragraph" w:styleId="947">
    <w:name w:val="Body Text(ch)"/>
    <w:basedOn w:val="860"/>
    <w:next w:val="894"/>
    <w:link w:val="860"/>
    <w:pPr>
      <w:spacing w:after="120"/>
    </w:pPr>
    <w:rPr>
      <w:rFonts w:ascii="宋体" w:hAnsi="Arial" w:eastAsia="宋体" w:cs="Times New Roman"/>
      <w:bCs/>
      <w:iCs/>
      <w:szCs w:val="24"/>
    </w:rPr>
  </w:style>
  <w:style w:type="paragraph" w:styleId="948">
    <w:name w:val="xl27"/>
    <w:basedOn w:val="860"/>
    <w:next w:val="948"/>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9">
    <w:name w:val="xl26"/>
    <w:basedOn w:val="860"/>
    <w:next w:val="949"/>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0">
    <w:name w:val="Char"/>
    <w:basedOn w:val="860"/>
    <w:next w:val="950"/>
    <w:link w:val="860"/>
    <w:pPr>
      <w:ind w:firstLine="200"/>
      <w:tabs>
        <w:tab w:val="left" w:pos="360" w:leader="none"/>
      </w:tabs>
    </w:pPr>
    <w:rPr>
      <w:rFonts w:ascii="Times New Roman" w:hAnsi="Times New Roman" w:eastAsia="宋体" w:cs="Times New Roman"/>
      <w:sz w:val="28"/>
      <w:szCs w:val="30"/>
    </w:rPr>
  </w:style>
  <w:style w:type="paragraph" w:styleId="951">
    <w:name w:val=" Char"/>
    <w:basedOn w:val="888"/>
    <w:next w:val="951"/>
    <w:link w:val="860"/>
    <w:rPr>
      <w:rFonts w:ascii="Tahoma" w:hAnsi="Tahoma"/>
      <w:sz w:val="24"/>
      <w:szCs w:val="24"/>
    </w:rPr>
  </w:style>
  <w:style w:type="paragraph" w:styleId="952">
    <w:name w:val="普通正文"/>
    <w:basedOn w:val="860"/>
    <w:next w:val="952"/>
    <w:link w:val="860"/>
    <w:pPr>
      <w:ind w:firstLine="480"/>
      <w:jc w:val="left"/>
      <w:spacing w:before="120" w:after="120" w:line="360" w:lineRule="auto"/>
    </w:pPr>
    <w:rPr>
      <w:rFonts w:ascii="Arial" w:hAnsi="Arial" w:eastAsia="宋体" w:cs="Times New Roman"/>
      <w:sz w:val="24"/>
      <w:szCs w:val="24"/>
    </w:rPr>
  </w:style>
  <w:style w:type="paragraph" w:styleId="953">
    <w:name w:val="table_lines"/>
    <w:basedOn w:val="860"/>
    <w:next w:val="953"/>
    <w:link w:val="860"/>
    <w:pPr>
      <w:jc w:val="left"/>
      <w:widowControl/>
    </w:pPr>
    <w:rPr>
      <w:rFonts w:ascii="Times New Roman" w:hAnsi="Times New Roman" w:eastAsia="宋体" w:cs="Times New Roman"/>
      <w:sz w:val="20"/>
      <w:szCs w:val="20"/>
      <w:lang w:val="de-DE" w:eastAsia="de-DE"/>
    </w:rPr>
  </w:style>
  <w:style w:type="paragraph" w:styleId="954">
    <w:name w:val="附录1"/>
    <w:next w:val="954"/>
    <w:link w:val="860"/>
    <w:pPr>
      <w:numPr>
        <w:ilvl w:val="0"/>
        <w:numId w:val="2"/>
      </w:numPr>
      <w:spacing w:before="240" w:line="600" w:lineRule="atLeast"/>
      <w:tabs>
        <w:tab w:val="left" w:pos="907" w:leader="none"/>
      </w:tabs>
    </w:pPr>
    <w:rPr>
      <w:b/>
      <w:i/>
      <w:sz w:val="28"/>
      <w:lang w:val="en-US" w:eastAsia="zh-CN" w:bidi="ar-SA"/>
    </w:rPr>
  </w:style>
  <w:style w:type="paragraph" w:styleId="955">
    <w:name w:val="font7"/>
    <w:basedOn w:val="860"/>
    <w:next w:val="955"/>
    <w:link w:val="860"/>
    <w:pPr>
      <w:jc w:val="left"/>
      <w:spacing w:before="100" w:beforeAutospacing="1" w:after="100" w:afterAutospacing="1"/>
      <w:widowControl/>
    </w:pPr>
    <w:rPr>
      <w:rFonts w:hint="eastAsia" w:ascii="宋体" w:hAnsi="宋体" w:eastAsia="宋体" w:cs="Times New Roman"/>
      <w:sz w:val="18"/>
      <w:szCs w:val="18"/>
    </w:rPr>
  </w:style>
  <w:style w:type="paragraph" w:styleId="956">
    <w:name w:val=" Char Char Char Char"/>
    <w:basedOn w:val="888"/>
    <w:next w:val="956"/>
    <w:link w:val="860"/>
    <w:pPr>
      <w:spacing w:line="360" w:lineRule="auto"/>
    </w:pPr>
    <w:rPr>
      <w:rFonts w:ascii="Tahoma" w:hAnsi="Tahoma"/>
      <w:sz w:val="24"/>
      <w:szCs w:val="24"/>
    </w:rPr>
  </w:style>
  <w:style w:type="paragraph" w:styleId="957">
    <w:name w:val="列表段落"/>
    <w:basedOn w:val="860"/>
    <w:next w:val="957"/>
    <w:link w:val="860"/>
    <w:qFormat/>
    <w:pPr>
      <w:contextualSpacing/>
      <w:ind w:left="720"/>
      <w:jc w:val="left"/>
      <w:widowControl/>
    </w:pPr>
    <w:rPr>
      <w:rFonts w:ascii="Calibri" w:hAnsi="Calibri" w:eastAsia="宋体" w:cs="Times New Roman"/>
      <w:sz w:val="24"/>
      <w:szCs w:val="24"/>
      <w:lang w:eastAsia="en-US" w:bidi="en-US"/>
    </w:rPr>
  </w:style>
  <w:style w:type="paragraph" w:styleId="958">
    <w:name w:val="4"/>
    <w:basedOn w:val="860"/>
    <w:next w:val="919"/>
    <w:link w:val="860"/>
    <w:pPr>
      <w:ind w:firstLine="420"/>
      <w:spacing w:line="360" w:lineRule="auto"/>
    </w:pPr>
    <w:rPr>
      <w:rFonts w:ascii="Times New Roman" w:hAnsi="Times New Roman" w:eastAsia="宋体" w:cs="Times New Roman"/>
      <w:color w:val="ff0000"/>
      <w:sz w:val="24"/>
      <w:szCs w:val="24"/>
    </w:rPr>
  </w:style>
  <w:style w:type="paragraph" w:styleId="959">
    <w:name w:val="普通 (Web)"/>
    <w:basedOn w:val="860"/>
    <w:next w:val="959"/>
    <w:link w:val="860"/>
    <w:pPr>
      <w:jc w:val="left"/>
      <w:spacing w:before="100" w:beforeAutospacing="1" w:after="100" w:afterAutospacing="1"/>
      <w:widowControl/>
    </w:pPr>
    <w:rPr>
      <w:rFonts w:ascii="宋体" w:hAnsi="宋体" w:eastAsia="宋体" w:cs="Times New Roman"/>
      <w:sz w:val="24"/>
      <w:szCs w:val="24"/>
    </w:rPr>
  </w:style>
  <w:style w:type="paragraph" w:styleId="960">
    <w:name w:val=" Char Char Char Char Char Char Char Char Char Char"/>
    <w:basedOn w:val="860"/>
    <w:next w:val="960"/>
    <w:link w:val="860"/>
    <w:pPr>
      <w:spacing w:line="360" w:lineRule="auto"/>
    </w:pPr>
    <w:rPr>
      <w:rFonts w:ascii="Times New Roman" w:hAnsi="Times New Roman" w:eastAsia="宋体" w:cs="Times New Roman"/>
      <w:sz w:val="24"/>
      <w:szCs w:val="20"/>
    </w:rPr>
  </w:style>
  <w:style w:type="paragraph" w:styleId="961">
    <w:name w:val="样式1"/>
    <w:basedOn w:val="860"/>
    <w:next w:val="961"/>
    <w:link w:val="860"/>
    <w:pPr>
      <w:numPr>
        <w:ilvl w:val="0"/>
        <w:numId w:val="3"/>
      </w:numPr>
      <w:tabs>
        <w:tab w:val="left" w:pos="709" w:leader="none"/>
      </w:tabs>
    </w:pPr>
    <w:rPr>
      <w:rFonts w:ascii="宋体" w:hAnsi="宋体" w:eastAsia="宋体" w:cs="Times New Roman"/>
      <w:szCs w:val="21"/>
    </w:rPr>
  </w:style>
  <w:style w:type="paragraph" w:styleId="962">
    <w:name w:val="font6"/>
    <w:basedOn w:val="860"/>
    <w:next w:val="962"/>
    <w:link w:val="860"/>
    <w:pPr>
      <w:jc w:val="left"/>
      <w:spacing w:before="100" w:beforeAutospacing="1" w:after="100" w:afterAutospacing="1"/>
      <w:widowControl/>
    </w:pPr>
    <w:rPr>
      <w:rFonts w:hint="eastAsia" w:ascii="宋体" w:hAnsi="宋体" w:eastAsia="宋体" w:cs="Times New Roman"/>
      <w:sz w:val="28"/>
      <w:szCs w:val="28"/>
      <w:u w:val="single"/>
    </w:rPr>
  </w:style>
  <w:style w:type="paragraph" w:styleId="963">
    <w:name w:val="xl25"/>
    <w:basedOn w:val="860"/>
    <w:next w:val="963"/>
    <w:link w:val="8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4">
    <w:name w:val="图标"/>
    <w:basedOn w:val="860"/>
    <w:next w:val="860"/>
    <w:link w:val="86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5">
    <w:name w:val="标题3"/>
    <w:basedOn w:val="860"/>
    <w:next w:val="860"/>
    <w:link w:val="860"/>
    <w:pPr>
      <w:ind w:firstLine="624"/>
      <w:spacing w:line="590" w:lineRule="atLeast"/>
    </w:pPr>
    <w:rPr>
      <w:rFonts w:ascii="方正黑体_GBK" w:hAnsi="Times New Roman" w:eastAsia="方正黑体_GBK" w:cs="Times New Roman"/>
      <w:sz w:val="32"/>
      <w:szCs w:val="32"/>
    </w:rPr>
  </w:style>
  <w:style w:type="paragraph" w:styleId="966">
    <w:name w:val="xl24"/>
    <w:basedOn w:val="860"/>
    <w:next w:val="966"/>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name w:val="xl29"/>
    <w:basedOn w:val="860"/>
    <w:next w:val="967"/>
    <w:link w:val="86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8">
    <w:name w:val="Char Char Char Char Char Char Char Char"/>
    <w:basedOn w:val="860"/>
    <w:next w:val="968"/>
    <w:link w:val="860"/>
    <w:pPr>
      <w:jc w:val="left"/>
      <w:spacing w:after="160" w:line="240" w:lineRule="exact"/>
      <w:widowControl/>
    </w:pPr>
    <w:rPr>
      <w:rFonts w:ascii="Verdana" w:hAnsi="Verdana" w:eastAsia="宋体" w:cs="Times New Roman"/>
      <w:sz w:val="20"/>
      <w:szCs w:val="20"/>
      <w:lang w:eastAsia="en-US"/>
    </w:rPr>
  </w:style>
  <w:style w:type="paragraph" w:styleId="969">
    <w:name w:val="xl28"/>
    <w:basedOn w:val="860"/>
    <w:next w:val="969"/>
    <w:link w:val="8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0">
    <w:name w:val=" Char Char Char Char Char Char Char Char"/>
    <w:basedOn w:val="860"/>
    <w:next w:val="970"/>
    <w:link w:val="860"/>
    <w:pPr>
      <w:jc w:val="left"/>
      <w:spacing w:after="160" w:line="240" w:lineRule="exact"/>
      <w:widowControl/>
    </w:pPr>
    <w:rPr>
      <w:rFonts w:ascii="Verdana" w:hAnsi="Verdana" w:eastAsia="宋体" w:cs="Times New Roman"/>
      <w:sz w:val="20"/>
      <w:szCs w:val="20"/>
      <w:lang w:eastAsia="en-US"/>
    </w:rPr>
  </w:style>
  <w:style w:type="paragraph" w:styleId="971">
    <w:name w:val="xl30"/>
    <w:basedOn w:val="860"/>
    <w:next w:val="971"/>
    <w:link w:val="860"/>
    <w:pPr>
      <w:jc w:val="center"/>
      <w:spacing w:before="100" w:beforeAutospacing="1" w:after="100" w:afterAutospacing="1"/>
      <w:widowControl/>
    </w:pPr>
    <w:rPr>
      <w:rFonts w:ascii="宋体" w:hAnsi="宋体" w:eastAsia="宋体" w:cs="Times New Roman"/>
      <w:b/>
      <w:bCs/>
      <w:sz w:val="36"/>
      <w:szCs w:val="36"/>
    </w:rPr>
  </w:style>
  <w:style w:type="paragraph" w:styleId="972">
    <w:name w:val="Char Char Char Char"/>
    <w:basedOn w:val="888"/>
    <w:next w:val="972"/>
    <w:link w:val="860"/>
    <w:pPr>
      <w:spacing w:line="360" w:lineRule="auto"/>
    </w:pPr>
    <w:rPr>
      <w:rFonts w:ascii="Tahoma" w:hAnsi="Tahoma"/>
      <w:sz w:val="24"/>
      <w:szCs w:val="24"/>
    </w:rPr>
  </w:style>
  <w:style w:type="paragraph" w:styleId="973">
    <w:name w:val="table_1stline"/>
    <w:basedOn w:val="860"/>
    <w:next w:val="973"/>
    <w:link w:val="860"/>
    <w:pPr>
      <w:jc w:val="left"/>
      <w:spacing w:before="120"/>
      <w:widowControl/>
    </w:pPr>
    <w:rPr>
      <w:rFonts w:ascii="Times New Roman" w:hAnsi="Times New Roman" w:eastAsia="宋体" w:cs="Times New Roman"/>
      <w:bCs/>
      <w:sz w:val="20"/>
      <w:szCs w:val="20"/>
      <w:lang w:val="de-DE" w:eastAsia="de-DE"/>
    </w:rPr>
  </w:style>
  <w:style w:type="paragraph" w:styleId="974">
    <w:name w:val="font5"/>
    <w:basedOn w:val="860"/>
    <w:next w:val="974"/>
    <w:link w:val="860"/>
    <w:pPr>
      <w:jc w:val="left"/>
      <w:spacing w:before="100" w:beforeAutospacing="1" w:after="100" w:afterAutospacing="1"/>
      <w:widowControl/>
    </w:pPr>
    <w:rPr>
      <w:rFonts w:hint="eastAsia" w:ascii="宋体" w:hAnsi="宋体" w:eastAsia="宋体" w:cs="Times New Roman"/>
      <w:sz w:val="28"/>
      <w:szCs w:val="28"/>
    </w:rPr>
  </w:style>
  <w:style w:type="paragraph" w:styleId="975">
    <w:name w:val="标题1"/>
    <w:basedOn w:val="860"/>
    <w:next w:val="860"/>
    <w:link w:val="86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6">
    <w:name w:val="修订"/>
    <w:next w:val="976"/>
    <w:link w:val="860"/>
    <w:uiPriority w:val="99"/>
    <w:semiHidden/>
    <w:rPr>
      <w:sz w:val="21"/>
      <w:szCs w:val="21"/>
      <w:lang w:val="en-US" w:eastAsia="zh-CN" w:bidi="ar-SA"/>
    </w:rPr>
  </w:style>
  <w:style w:type="paragraph" w:styleId="977">
    <w:name w:val="无间隔"/>
    <w:next w:val="977"/>
    <w:link w:val="860"/>
    <w:uiPriority w:val="99"/>
    <w:qFormat/>
    <w:pPr>
      <w:jc w:val="both"/>
      <w:widowControl w:val="off"/>
    </w:pPr>
    <w:rPr>
      <w:sz w:val="21"/>
      <w:szCs w:val="21"/>
      <w:lang w:val="en-US" w:eastAsia="zh-CN" w:bidi="ar-SA"/>
    </w:rPr>
  </w:style>
  <w:style w:type="table" w:styleId="978">
    <w:name w:val="Table Normal"/>
    <w:next w:val="978"/>
    <w:link w:val="860"/>
    <w:qFormat/>
    <w:rPr>
      <w:lang w:val="en-US" w:eastAsia="zh-CN" w:bidi="ar-SA"/>
    </w:rPr>
    <w:tblPr/>
  </w:style>
  <w:style w:type="paragraph" w:styleId="979">
    <w:name w:val="正文文本12"/>
    <w:basedOn w:val="860"/>
    <w:next w:val="979"/>
    <w:link w:val="860"/>
    <w:uiPriority w:val="1"/>
    <w:qFormat/>
    <w:pPr>
      <w:ind w:left="120"/>
    </w:pPr>
    <w:rPr>
      <w:rFonts w:ascii="宋体" w:hAnsi="宋体" w:eastAsia="宋体" w:cs="宋体"/>
      <w:sz w:val="21"/>
      <w:szCs w:val="21"/>
      <w:lang w:val="zh-CN" w:eastAsia="zh-CN" w:bidi="zh-CN"/>
    </w:rPr>
  </w:style>
  <w:style w:type="paragraph" w:styleId="980">
    <w:name w:val="正文文本 211"/>
    <w:basedOn w:val="860"/>
    <w:next w:val="980"/>
    <w:link w:val="860"/>
    <w:uiPriority w:val="99"/>
    <w:qFormat/>
    <w:pPr>
      <w:jc w:val="center"/>
    </w:pPr>
    <w:rPr>
      <w:b/>
      <w:bCs/>
      <w:sz w:val="20"/>
      <w:szCs w:val="20"/>
    </w:rPr>
  </w:style>
  <w:style w:type="paragraph" w:styleId="981">
    <w:name w:val="正文文本1"/>
    <w:basedOn w:val="860"/>
    <w:next w:val="860"/>
    <w:link w:val="860"/>
    <w:semiHidden/>
    <w:qFormat/>
    <w:rPr>
      <w:rFonts w:ascii="Arial" w:hAnsi="Arial" w:eastAsia="Arial" w:cs="Arial"/>
      <w:sz w:val="21"/>
      <w:szCs w:val="21"/>
      <w:lang w:val="en-US" w:eastAsia="en-US" w:bidi="ar-SA"/>
    </w:rPr>
  </w:style>
  <w:style w:type="paragraph" w:styleId="982">
    <w:name w:val="Table Paragraph"/>
    <w:basedOn w:val="860"/>
    <w:next w:val="982"/>
    <w:link w:val="860"/>
    <w:uiPriority w:val="1"/>
    <w:qFormat/>
    <w:pPr>
      <w:jc w:val="left"/>
    </w:pPr>
    <w:rPr>
      <w:rFonts w:ascii="宋体" w:hAnsi="宋体" w:eastAsia="宋体" w:cs="宋体"/>
      <w:sz w:val="22"/>
      <w:szCs w:val="22"/>
      <w:lang w:val="zh-CN" w:bidi="zh-CN"/>
    </w:rPr>
  </w:style>
  <w:style w:type="table" w:styleId="983">
    <w:name w:val="网格型1"/>
    <w:basedOn w:val="984"/>
    <w:next w:val="983"/>
    <w:link w:val="860"/>
    <w:qFormat/>
    <w:pPr>
      <w:jc w:val="both"/>
      <w:widowControl w:val="off"/>
    </w:pPr>
    <w:tblPr/>
  </w:style>
  <w:style w:type="table" w:styleId="984">
    <w:name w:val="普通表格1"/>
    <w:next w:val="984"/>
    <w:link w:val="860"/>
    <w:uiPriority w:val="99"/>
    <w:unhideWhenUsed/>
    <w:qFormat/>
    <w:rPr>
      <w:lang w:val="en-US" w:eastAsia="zh-CN" w:bidi="ar-SA"/>
    </w:rPr>
    <w:tblPr/>
  </w:style>
  <w:style w:type="table" w:styleId="985">
    <w:name w:val="Table Normal_0"/>
    <w:next w:val="985"/>
    <w:link w:val="860"/>
    <w:qFormat/>
    <w:rPr>
      <w:lang w:val="en-US" w:eastAsia="zh-CN" w:bidi="ar-SA"/>
    </w:rPr>
    <w:tblPr/>
  </w:style>
  <w:style w:type="character" w:styleId="986" w:default="1">
    <w:name w:val="Default Paragraph Font"/>
    <w:uiPriority w:val="1"/>
    <w:semiHidden/>
    <w:unhideWhenUsed/>
  </w:style>
  <w:style w:type="numbering" w:styleId="987" w:default="1">
    <w:name w:val="No List"/>
    <w:uiPriority w:val="99"/>
    <w:semiHidden/>
    <w:unhideWhenUsed/>
  </w:style>
  <w:style w:type="table" w:styleId="9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7</cp:revision>
  <dcterms:created xsi:type="dcterms:W3CDTF">2023-03-16T02:13:00Z</dcterms:created>
  <dcterms:modified xsi:type="dcterms:W3CDTF">2025-11-21T08:33:57Z</dcterms:modified>
  <cp:version>1048576</cp:version>
</cp:coreProperties>
</file>